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66DDCF" w14:textId="47A71653" w:rsidR="00BC33F7" w:rsidRPr="0083170E" w:rsidRDefault="00E9502F" w:rsidP="009A0EC9">
      <w:pPr>
        <w:jc w:val="center"/>
        <w:rPr>
          <w:rStyle w:val="Emphasis"/>
        </w:rPr>
      </w:pPr>
      <w:r>
        <w:rPr>
          <w:rFonts w:ascii="Calibri" w:eastAsia="Calibri" w:hAnsi="Calibri"/>
          <w:noProof/>
          <w:sz w:val="22"/>
          <w:szCs w:val="22"/>
          <w:lang w:val="en-US"/>
        </w:rPr>
        <w:drawing>
          <wp:inline distT="0" distB="0" distL="0" distR="0" wp14:anchorId="4F7F954F" wp14:editId="015C293F">
            <wp:extent cx="853440" cy="5791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53440" cy="579120"/>
                    </a:xfrm>
                    <a:prstGeom prst="rect">
                      <a:avLst/>
                    </a:prstGeom>
                    <a:noFill/>
                    <a:ln>
                      <a:noFill/>
                    </a:ln>
                  </pic:spPr>
                </pic:pic>
              </a:graphicData>
            </a:graphic>
          </wp:inline>
        </w:drawing>
      </w:r>
    </w:p>
    <w:p w14:paraId="5158117C" w14:textId="77777777" w:rsidR="00BC33F7" w:rsidRDefault="00BC33F7" w:rsidP="00BC33F7">
      <w:pPr>
        <w:rPr>
          <w:lang w:val="fr-FR"/>
        </w:rPr>
      </w:pPr>
    </w:p>
    <w:p w14:paraId="3AA3A03B" w14:textId="77777777" w:rsidR="00BC33F7" w:rsidRDefault="00BC33F7" w:rsidP="00BC33F7">
      <w:pPr>
        <w:rPr>
          <w:lang w:val="fr-FR"/>
        </w:rPr>
      </w:pPr>
    </w:p>
    <w:p w14:paraId="3246DDA3" w14:textId="77777777" w:rsidR="00BC33F7" w:rsidRPr="0035391E" w:rsidRDefault="00BC33F7" w:rsidP="00BC33F7">
      <w:pPr>
        <w:pStyle w:val="FP"/>
        <w:framePr w:h="1625" w:hRule="exact" w:wrap="notBeside" w:vAnchor="page" w:hAnchor="page" w:x="871" w:y="11581"/>
        <w:spacing w:after="240"/>
        <w:jc w:val="center"/>
        <w:rPr>
          <w:rFonts w:ascii="Arial" w:hAnsi="Arial" w:cs="Arial"/>
          <w:sz w:val="18"/>
          <w:szCs w:val="18"/>
        </w:rPr>
      </w:pPr>
      <w:bookmarkStart w:id="0" w:name="GSBox"/>
    </w:p>
    <w:tbl>
      <w:tblPr>
        <w:tblW w:w="9466" w:type="dxa"/>
        <w:jc w:val="center"/>
        <w:tblBorders>
          <w:top w:val="single" w:sz="4" w:space="0" w:color="A0A0A3"/>
          <w:left w:val="single" w:sz="4" w:space="0" w:color="A0A0A3"/>
          <w:bottom w:val="single" w:sz="4" w:space="0" w:color="A0A0A3"/>
          <w:right w:val="single" w:sz="4" w:space="0" w:color="A0A0A3"/>
          <w:insideH w:val="single" w:sz="4" w:space="0" w:color="A0A0A3"/>
          <w:insideV w:val="single" w:sz="4" w:space="0" w:color="A0A0A3"/>
        </w:tblBorders>
        <w:shd w:val="clear" w:color="auto" w:fill="C00000"/>
        <w:tblCellMar>
          <w:top w:w="29" w:type="dxa"/>
          <w:left w:w="115" w:type="dxa"/>
          <w:bottom w:w="29" w:type="dxa"/>
          <w:right w:w="115" w:type="dxa"/>
        </w:tblCellMar>
        <w:tblLook w:val="0000" w:firstRow="0" w:lastRow="0" w:firstColumn="0" w:lastColumn="0" w:noHBand="0" w:noVBand="0"/>
      </w:tblPr>
      <w:tblGrid>
        <w:gridCol w:w="2513"/>
        <w:gridCol w:w="6953"/>
      </w:tblGrid>
      <w:tr w:rsidR="00424964" w:rsidRPr="00F3693A" w14:paraId="09EFB36D" w14:textId="77777777" w:rsidTr="00D7373D">
        <w:trPr>
          <w:trHeight w:val="302"/>
          <w:jc w:val="center"/>
        </w:trPr>
        <w:tc>
          <w:tcPr>
            <w:tcW w:w="9463" w:type="dxa"/>
            <w:gridSpan w:val="2"/>
            <w:shd w:val="clear" w:color="auto" w:fill="B42025"/>
          </w:tcPr>
          <w:p w14:paraId="63B186C3" w14:textId="77777777" w:rsidR="00CE407D" w:rsidRPr="00F3693A" w:rsidRDefault="000565D9" w:rsidP="00CE407D">
            <w:pPr>
              <w:shd w:val="clear" w:color="auto" w:fill="B42025"/>
              <w:overflowPunct/>
              <w:autoSpaceDE/>
              <w:autoSpaceDN/>
              <w:adjustRightInd/>
              <w:spacing w:after="0"/>
              <w:ind w:right="10"/>
              <w:jc w:val="center"/>
              <w:textAlignment w:val="auto"/>
              <w:rPr>
                <w:b/>
                <w:smallCaps/>
                <w:color w:val="FFFFFF"/>
                <w:spacing w:val="30"/>
                <w:sz w:val="36"/>
                <w:szCs w:val="24"/>
              </w:rPr>
            </w:pPr>
            <w:bookmarkStart w:id="1" w:name="page2"/>
            <w:bookmarkEnd w:id="0"/>
            <w:r w:rsidRPr="00F3693A">
              <w:rPr>
                <w:b/>
                <w:smallCaps/>
                <w:color w:val="FFFFFF"/>
                <w:spacing w:val="30"/>
                <w:sz w:val="36"/>
                <w:szCs w:val="24"/>
              </w:rPr>
              <w:t>oneM2M</w:t>
            </w:r>
          </w:p>
          <w:p w14:paraId="2C8BCACC" w14:textId="77777777" w:rsidR="00424964" w:rsidRPr="00F3693A" w:rsidRDefault="00424964" w:rsidP="00CE407D">
            <w:pPr>
              <w:shd w:val="clear" w:color="auto" w:fill="B42025"/>
              <w:overflowPunct/>
              <w:autoSpaceDE/>
              <w:autoSpaceDN/>
              <w:adjustRightInd/>
              <w:spacing w:after="0"/>
              <w:ind w:right="10"/>
              <w:jc w:val="center"/>
              <w:textAlignment w:val="auto"/>
              <w:rPr>
                <w:b/>
                <w:smallCaps/>
                <w:color w:val="FFFFFF"/>
                <w:spacing w:val="30"/>
                <w:sz w:val="36"/>
                <w:szCs w:val="24"/>
              </w:rPr>
            </w:pPr>
            <w:r w:rsidRPr="00F3693A">
              <w:rPr>
                <w:b/>
                <w:smallCaps/>
                <w:color w:val="FFFFFF"/>
                <w:spacing w:val="30"/>
                <w:sz w:val="36"/>
                <w:szCs w:val="24"/>
              </w:rPr>
              <w:t xml:space="preserve">Technical </w:t>
            </w:r>
            <w:r w:rsidR="00CE407D" w:rsidRPr="00F3693A">
              <w:rPr>
                <w:b/>
                <w:smallCaps/>
                <w:color w:val="FFFFFF"/>
                <w:spacing w:val="30"/>
                <w:sz w:val="36"/>
                <w:szCs w:val="24"/>
              </w:rPr>
              <w:t>Specification</w:t>
            </w:r>
          </w:p>
        </w:tc>
      </w:tr>
      <w:tr w:rsidR="00424964" w:rsidRPr="00A629A4" w14:paraId="74843190" w14:textId="77777777" w:rsidTr="00D7373D">
        <w:trPr>
          <w:trHeight w:val="124"/>
          <w:jc w:val="center"/>
        </w:trPr>
        <w:tc>
          <w:tcPr>
            <w:tcW w:w="2512" w:type="dxa"/>
            <w:shd w:val="clear" w:color="auto" w:fill="A0A0A3"/>
          </w:tcPr>
          <w:p w14:paraId="4BC322BB" w14:textId="77777777" w:rsidR="00424964" w:rsidRPr="00F3693A" w:rsidRDefault="00424964" w:rsidP="00424964">
            <w:pPr>
              <w:overflowPunct/>
              <w:autoSpaceDE/>
              <w:autoSpaceDN/>
              <w:adjustRightInd/>
              <w:spacing w:after="0"/>
              <w:ind w:right="10"/>
              <w:textAlignment w:val="auto"/>
              <w:rPr>
                <w:bCs/>
                <w:color w:val="FFFFFF"/>
                <w:sz w:val="24"/>
                <w:szCs w:val="24"/>
              </w:rPr>
            </w:pPr>
            <w:r w:rsidRPr="00F3693A">
              <w:rPr>
                <w:bCs/>
                <w:color w:val="FFFFFF"/>
                <w:sz w:val="24"/>
                <w:szCs w:val="24"/>
              </w:rPr>
              <w:t>Document Number</w:t>
            </w:r>
          </w:p>
        </w:tc>
        <w:tc>
          <w:tcPr>
            <w:tcW w:w="6951" w:type="dxa"/>
            <w:shd w:val="clear" w:color="auto" w:fill="FFFFFF"/>
          </w:tcPr>
          <w:p w14:paraId="18183A60" w14:textId="2CD389AC" w:rsidR="00424964" w:rsidRPr="00A629A4" w:rsidRDefault="007E5980" w:rsidP="00424964">
            <w:pPr>
              <w:keepNext/>
              <w:keepLines/>
              <w:overflowPunct/>
              <w:autoSpaceDE/>
              <w:autoSpaceDN/>
              <w:adjustRightInd/>
              <w:spacing w:before="60" w:after="60"/>
              <w:ind w:right="10"/>
              <w:textAlignment w:val="auto"/>
              <w:rPr>
                <w:rFonts w:eastAsia="BatangChe"/>
                <w:sz w:val="22"/>
                <w:szCs w:val="24"/>
                <w:lang w:val="fr-FR"/>
              </w:rPr>
            </w:pPr>
            <w:r>
              <w:rPr>
                <w:rFonts w:eastAsia="BatangChe"/>
                <w:sz w:val="22"/>
                <w:szCs w:val="24"/>
                <w:lang w:val="fr-FR"/>
              </w:rPr>
              <w:t>TS-0035</w:t>
            </w:r>
            <w:r w:rsidR="005E77DD" w:rsidRPr="00A629A4">
              <w:rPr>
                <w:rFonts w:eastAsia="BatangChe"/>
                <w:sz w:val="22"/>
                <w:szCs w:val="24"/>
                <w:lang w:val="fr-FR"/>
              </w:rPr>
              <w:t>-</w:t>
            </w:r>
            <w:r>
              <w:rPr>
                <w:rFonts w:eastAsia="BatangChe"/>
                <w:sz w:val="22"/>
                <w:szCs w:val="24"/>
                <w:lang w:val="fr-FR"/>
              </w:rPr>
              <w:t>v5.0.1</w:t>
            </w:r>
          </w:p>
        </w:tc>
      </w:tr>
      <w:tr w:rsidR="00424964" w:rsidRPr="00F3693A" w14:paraId="32435A74" w14:textId="77777777" w:rsidTr="00D7373D">
        <w:trPr>
          <w:trHeight w:val="116"/>
          <w:jc w:val="center"/>
        </w:trPr>
        <w:tc>
          <w:tcPr>
            <w:tcW w:w="2512" w:type="dxa"/>
            <w:shd w:val="clear" w:color="auto" w:fill="A0A0A3"/>
          </w:tcPr>
          <w:p w14:paraId="0E6E6677" w14:textId="77777777" w:rsidR="00424964" w:rsidRPr="00F3693A" w:rsidRDefault="00424964" w:rsidP="00424964">
            <w:pPr>
              <w:overflowPunct/>
              <w:autoSpaceDE/>
              <w:autoSpaceDN/>
              <w:adjustRightInd/>
              <w:spacing w:after="0"/>
              <w:ind w:right="10"/>
              <w:textAlignment w:val="auto"/>
              <w:rPr>
                <w:bCs/>
                <w:color w:val="FFFFFF"/>
                <w:sz w:val="24"/>
                <w:szCs w:val="24"/>
              </w:rPr>
            </w:pPr>
            <w:r w:rsidRPr="00F3693A">
              <w:rPr>
                <w:bCs/>
                <w:color w:val="FFFFFF"/>
                <w:sz w:val="24"/>
                <w:szCs w:val="24"/>
              </w:rPr>
              <w:t>Document Name:</w:t>
            </w:r>
          </w:p>
        </w:tc>
        <w:tc>
          <w:tcPr>
            <w:tcW w:w="6951" w:type="dxa"/>
            <w:shd w:val="clear" w:color="auto" w:fill="FFFFFF"/>
          </w:tcPr>
          <w:p w14:paraId="3C5D8E2A" w14:textId="1EED7262" w:rsidR="00424964" w:rsidRPr="00F3693A" w:rsidRDefault="007E5980" w:rsidP="00424964">
            <w:pPr>
              <w:keepNext/>
              <w:keepLines/>
              <w:overflowPunct/>
              <w:autoSpaceDE/>
              <w:autoSpaceDN/>
              <w:adjustRightInd/>
              <w:spacing w:before="60" w:after="60"/>
              <w:ind w:right="10"/>
              <w:textAlignment w:val="auto"/>
              <w:rPr>
                <w:rFonts w:eastAsia="BatangChe"/>
                <w:sz w:val="22"/>
                <w:szCs w:val="24"/>
                <w:lang w:val="en-US"/>
              </w:rPr>
            </w:pPr>
            <w:r>
              <w:rPr>
                <w:rFonts w:eastAsia="BatangChe"/>
                <w:sz w:val="22"/>
                <w:szCs w:val="24"/>
                <w:lang w:val="en-US"/>
              </w:rPr>
              <w:t>OSGi Interworking</w:t>
            </w:r>
          </w:p>
          <w:p w14:paraId="6C23BE2B" w14:textId="77777777" w:rsidR="00424964" w:rsidRPr="00F3693A" w:rsidRDefault="00424964" w:rsidP="00424964">
            <w:pPr>
              <w:keepNext/>
              <w:keepLines/>
              <w:overflowPunct/>
              <w:autoSpaceDE/>
              <w:autoSpaceDN/>
              <w:adjustRightInd/>
              <w:spacing w:before="60" w:after="60"/>
              <w:ind w:right="10"/>
              <w:textAlignment w:val="auto"/>
              <w:rPr>
                <w:rFonts w:eastAsia="BatangChe"/>
                <w:sz w:val="22"/>
                <w:szCs w:val="24"/>
                <w:lang w:val="en-US"/>
              </w:rPr>
            </w:pPr>
          </w:p>
        </w:tc>
      </w:tr>
      <w:tr w:rsidR="00424964" w:rsidRPr="00F3693A" w14:paraId="0F700521" w14:textId="77777777" w:rsidTr="00D7373D">
        <w:trPr>
          <w:trHeight w:val="124"/>
          <w:jc w:val="center"/>
        </w:trPr>
        <w:tc>
          <w:tcPr>
            <w:tcW w:w="2512" w:type="dxa"/>
            <w:shd w:val="clear" w:color="auto" w:fill="A0A0A3"/>
          </w:tcPr>
          <w:p w14:paraId="5CF1DE18" w14:textId="77777777" w:rsidR="00424964" w:rsidRPr="00F3693A" w:rsidRDefault="00424964" w:rsidP="00424964">
            <w:pPr>
              <w:overflowPunct/>
              <w:autoSpaceDE/>
              <w:autoSpaceDN/>
              <w:adjustRightInd/>
              <w:spacing w:after="0"/>
              <w:ind w:right="10"/>
              <w:textAlignment w:val="auto"/>
              <w:rPr>
                <w:bCs/>
                <w:color w:val="FFFFFF"/>
                <w:sz w:val="24"/>
                <w:szCs w:val="24"/>
              </w:rPr>
            </w:pPr>
            <w:r w:rsidRPr="00F3693A">
              <w:rPr>
                <w:bCs/>
                <w:color w:val="FFFFFF"/>
                <w:sz w:val="24"/>
                <w:szCs w:val="24"/>
              </w:rPr>
              <w:t>Date:</w:t>
            </w:r>
          </w:p>
        </w:tc>
        <w:tc>
          <w:tcPr>
            <w:tcW w:w="6951" w:type="dxa"/>
            <w:shd w:val="clear" w:color="auto" w:fill="FFFFFF"/>
          </w:tcPr>
          <w:p w14:paraId="45E22346" w14:textId="67114911" w:rsidR="00424964" w:rsidRPr="00F3693A" w:rsidRDefault="007E5980" w:rsidP="00B15AA7">
            <w:pPr>
              <w:keepNext/>
              <w:keepLines/>
              <w:overflowPunct/>
              <w:autoSpaceDE/>
              <w:autoSpaceDN/>
              <w:adjustRightInd/>
              <w:spacing w:before="60" w:after="60"/>
              <w:ind w:right="10"/>
              <w:textAlignment w:val="auto"/>
              <w:rPr>
                <w:rFonts w:eastAsia="BatangChe"/>
                <w:sz w:val="22"/>
                <w:szCs w:val="24"/>
                <w:lang w:val="en-US"/>
              </w:rPr>
            </w:pPr>
            <w:r>
              <w:rPr>
                <w:rFonts w:eastAsia="BatangChe"/>
                <w:sz w:val="22"/>
                <w:szCs w:val="24"/>
                <w:lang w:val="en-US"/>
              </w:rPr>
              <w:t>2026-03-19</w:t>
            </w:r>
          </w:p>
        </w:tc>
      </w:tr>
      <w:tr w:rsidR="00424964" w:rsidRPr="00F3693A" w14:paraId="1B043236" w14:textId="77777777" w:rsidTr="00D7373D">
        <w:trPr>
          <w:trHeight w:val="937"/>
          <w:jc w:val="center"/>
        </w:trPr>
        <w:tc>
          <w:tcPr>
            <w:tcW w:w="2512" w:type="dxa"/>
            <w:shd w:val="clear" w:color="auto" w:fill="A0A0A3"/>
          </w:tcPr>
          <w:p w14:paraId="57818E84" w14:textId="77777777" w:rsidR="00424964" w:rsidRPr="00F3693A" w:rsidRDefault="00424964" w:rsidP="00424964">
            <w:pPr>
              <w:overflowPunct/>
              <w:autoSpaceDE/>
              <w:autoSpaceDN/>
              <w:adjustRightInd/>
              <w:spacing w:after="0"/>
              <w:ind w:right="10"/>
              <w:textAlignment w:val="auto"/>
              <w:rPr>
                <w:bCs/>
                <w:color w:val="FFFFFF"/>
                <w:sz w:val="24"/>
                <w:szCs w:val="24"/>
              </w:rPr>
            </w:pPr>
            <w:r w:rsidRPr="00F3693A">
              <w:rPr>
                <w:bCs/>
                <w:color w:val="FFFFFF"/>
                <w:sz w:val="24"/>
                <w:szCs w:val="24"/>
              </w:rPr>
              <w:t>Abstract</w:t>
            </w:r>
            <w:r w:rsidR="00C40550" w:rsidRPr="00F3693A">
              <w:rPr>
                <w:bCs/>
                <w:color w:val="FFFFFF"/>
                <w:sz w:val="24"/>
                <w:szCs w:val="24"/>
              </w:rPr>
              <w:t>:</w:t>
            </w:r>
          </w:p>
        </w:tc>
        <w:tc>
          <w:tcPr>
            <w:tcW w:w="6951" w:type="dxa"/>
            <w:shd w:val="clear" w:color="auto" w:fill="FFFFFF"/>
          </w:tcPr>
          <w:p w14:paraId="20453B64" w14:textId="342A082F" w:rsidR="00424964" w:rsidRPr="00F3693A" w:rsidRDefault="007E5980" w:rsidP="00424964">
            <w:pPr>
              <w:keepNext/>
              <w:keepLines/>
              <w:overflowPunct/>
              <w:autoSpaceDE/>
              <w:autoSpaceDN/>
              <w:adjustRightInd/>
              <w:spacing w:before="60" w:after="60"/>
              <w:ind w:right="10"/>
              <w:textAlignment w:val="auto"/>
              <w:rPr>
                <w:rFonts w:eastAsia="BatangChe"/>
                <w:sz w:val="22"/>
                <w:szCs w:val="24"/>
                <w:lang w:val="en-US"/>
              </w:rPr>
            </w:pPr>
            <w:r>
              <w:rPr>
                <w:rFonts w:eastAsia="BatangChe"/>
                <w:sz w:val="22"/>
                <w:szCs w:val="24"/>
                <w:lang w:val="en-US"/>
              </w:rPr>
              <w:t>The document defines principles and guidelines on interworking OSGi based devices and gateways to oneM2M system.</w:t>
            </w:r>
          </w:p>
        </w:tc>
      </w:tr>
      <w:tr w:rsidR="00D7373D" w:rsidRPr="00F3693A" w14:paraId="29BDF44D" w14:textId="77777777" w:rsidTr="00D7373D">
        <w:tblPrEx>
          <w:tblLook w:val="04A0" w:firstRow="1" w:lastRow="0" w:firstColumn="1" w:lastColumn="0" w:noHBand="0" w:noVBand="1"/>
        </w:tblPrEx>
        <w:trPr>
          <w:trHeight w:val="373"/>
          <w:jc w:val="center"/>
        </w:trPr>
        <w:tc>
          <w:tcPr>
            <w:tcW w:w="9463" w:type="dxa"/>
            <w:gridSpan w:val="2"/>
            <w:tcBorders>
              <w:top w:val="single" w:sz="4" w:space="0" w:color="A0A0A3"/>
              <w:left w:val="single" w:sz="4" w:space="0" w:color="A0A0A3"/>
              <w:bottom w:val="single" w:sz="4" w:space="0" w:color="A0A0A3"/>
              <w:right w:val="single" w:sz="4" w:space="0" w:color="A0A0A3"/>
            </w:tcBorders>
            <w:shd w:val="clear" w:color="auto" w:fill="A0A0A3"/>
            <w:hideMark/>
          </w:tcPr>
          <w:p w14:paraId="0B071504" w14:textId="77777777" w:rsidR="00D7373D" w:rsidRPr="002F79DB" w:rsidRDefault="00345FB4" w:rsidP="00B15AA7">
            <w:pPr>
              <w:pStyle w:val="oneM2M-CoverTableLeft"/>
              <w:tabs>
                <w:tab w:val="left" w:pos="6248"/>
              </w:tabs>
              <w:rPr>
                <w:sz w:val="16"/>
                <w:szCs w:val="16"/>
                <w:lang w:eastAsia="ja-JP"/>
              </w:rPr>
            </w:pPr>
            <w:r w:rsidRPr="00345FB4">
              <w:rPr>
                <w:sz w:val="16"/>
                <w:szCs w:val="16"/>
                <w:lang w:val="en-GB"/>
              </w:rPr>
              <w:t xml:space="preserve">'Template Version: </w:t>
            </w:r>
            <w:r w:rsidR="005F5CD3">
              <w:rPr>
                <w:sz w:val="16"/>
                <w:szCs w:val="16"/>
                <w:lang w:val="en-GB"/>
              </w:rPr>
              <w:t>January</w:t>
            </w:r>
            <w:r w:rsidRPr="00345FB4">
              <w:rPr>
                <w:sz w:val="16"/>
                <w:szCs w:val="16"/>
                <w:lang w:val="en-GB"/>
              </w:rPr>
              <w:t xml:space="preserve"> 20</w:t>
            </w:r>
            <w:r w:rsidR="007577B0">
              <w:rPr>
                <w:sz w:val="16"/>
                <w:szCs w:val="16"/>
                <w:lang w:val="en-GB"/>
              </w:rPr>
              <w:t>20</w:t>
            </w:r>
            <w:r w:rsidRPr="00345FB4">
              <w:rPr>
                <w:sz w:val="16"/>
                <w:szCs w:val="16"/>
                <w:lang w:val="en-GB"/>
              </w:rPr>
              <w:t xml:space="preserve"> (do not modify)</w:t>
            </w:r>
          </w:p>
        </w:tc>
      </w:tr>
    </w:tbl>
    <w:p w14:paraId="7751EA23" w14:textId="77777777" w:rsidR="00424964" w:rsidRPr="00424964" w:rsidRDefault="00424964" w:rsidP="00424964">
      <w:pPr>
        <w:tabs>
          <w:tab w:val="left" w:pos="284"/>
        </w:tabs>
        <w:overflowPunct/>
        <w:autoSpaceDE/>
        <w:autoSpaceDN/>
        <w:adjustRightInd/>
        <w:spacing w:before="120" w:after="0"/>
        <w:textAlignment w:val="auto"/>
        <w:rPr>
          <w:rFonts w:ascii="Myriad Pro" w:hAnsi="Myriad Pro"/>
          <w:sz w:val="24"/>
          <w:szCs w:val="24"/>
        </w:rPr>
      </w:pPr>
    </w:p>
    <w:p w14:paraId="1C903B73" w14:textId="77777777" w:rsidR="00424964" w:rsidRDefault="00424964" w:rsidP="00424964">
      <w:pPr>
        <w:tabs>
          <w:tab w:val="left" w:pos="284"/>
        </w:tabs>
        <w:overflowPunct/>
        <w:autoSpaceDE/>
        <w:autoSpaceDN/>
        <w:adjustRightInd/>
        <w:spacing w:before="120" w:after="0"/>
        <w:textAlignment w:val="auto"/>
        <w:rPr>
          <w:rFonts w:ascii="Myriad Pro" w:hAnsi="Myriad Pro"/>
          <w:sz w:val="24"/>
          <w:szCs w:val="24"/>
        </w:rPr>
      </w:pPr>
    </w:p>
    <w:p w14:paraId="644572A2" w14:textId="77777777" w:rsidR="00E278AD" w:rsidRDefault="00E278AD" w:rsidP="00424964">
      <w:pPr>
        <w:tabs>
          <w:tab w:val="left" w:pos="284"/>
        </w:tabs>
        <w:overflowPunct/>
        <w:autoSpaceDE/>
        <w:autoSpaceDN/>
        <w:adjustRightInd/>
        <w:spacing w:before="120" w:after="0"/>
        <w:textAlignment w:val="auto"/>
        <w:rPr>
          <w:rFonts w:ascii="Myriad Pro" w:hAnsi="Myriad Pro"/>
          <w:sz w:val="24"/>
          <w:szCs w:val="24"/>
        </w:rPr>
      </w:pPr>
    </w:p>
    <w:p w14:paraId="574B921B" w14:textId="77777777" w:rsidR="00E278AD" w:rsidRDefault="00E278AD" w:rsidP="00424964">
      <w:pPr>
        <w:tabs>
          <w:tab w:val="left" w:pos="284"/>
        </w:tabs>
        <w:overflowPunct/>
        <w:autoSpaceDE/>
        <w:autoSpaceDN/>
        <w:adjustRightInd/>
        <w:spacing w:before="120" w:after="0"/>
        <w:textAlignment w:val="auto"/>
        <w:rPr>
          <w:rFonts w:ascii="Myriad Pro" w:hAnsi="Myriad Pro"/>
          <w:sz w:val="24"/>
          <w:szCs w:val="24"/>
        </w:rPr>
      </w:pPr>
    </w:p>
    <w:p w14:paraId="09310D2C" w14:textId="77777777" w:rsidR="00E278AD" w:rsidRPr="00424964" w:rsidRDefault="00E278AD" w:rsidP="00424964">
      <w:pPr>
        <w:tabs>
          <w:tab w:val="left" w:pos="284"/>
        </w:tabs>
        <w:overflowPunct/>
        <w:autoSpaceDE/>
        <w:autoSpaceDN/>
        <w:adjustRightInd/>
        <w:spacing w:before="120" w:after="0"/>
        <w:textAlignment w:val="auto"/>
        <w:rPr>
          <w:rFonts w:ascii="Myriad Pro" w:hAnsi="Myriad Pro"/>
          <w:sz w:val="24"/>
          <w:szCs w:val="24"/>
        </w:rPr>
      </w:pPr>
    </w:p>
    <w:p w14:paraId="39D31206" w14:textId="77777777" w:rsidR="00424964" w:rsidRPr="00424964" w:rsidRDefault="00424964" w:rsidP="00424964">
      <w:pPr>
        <w:tabs>
          <w:tab w:val="left" w:pos="284"/>
        </w:tabs>
        <w:overflowPunct/>
        <w:autoSpaceDE/>
        <w:autoSpaceDN/>
        <w:adjustRightInd/>
        <w:spacing w:before="120" w:after="0"/>
        <w:textAlignment w:val="auto"/>
        <w:rPr>
          <w:rFonts w:ascii="Myriad Pro" w:hAnsi="Myriad Pro"/>
          <w:sz w:val="24"/>
          <w:szCs w:val="24"/>
        </w:rPr>
      </w:pPr>
    </w:p>
    <w:p w14:paraId="71673D21" w14:textId="77777777" w:rsidR="00E278AD" w:rsidRDefault="00E278AD" w:rsidP="00E278AD">
      <w:pPr>
        <w:rPr>
          <w:rFonts w:eastAsia="Calibri"/>
          <w:color w:val="000000"/>
          <w:sz w:val="22"/>
          <w:szCs w:val="22"/>
          <w:lang w:val="en-US"/>
        </w:rPr>
      </w:pPr>
      <w:r w:rsidRPr="003D63E8">
        <w:rPr>
          <w:rFonts w:eastAsia="Calibri"/>
          <w:color w:val="000000"/>
          <w:sz w:val="22"/>
          <w:szCs w:val="22"/>
          <w:lang w:val="en-US"/>
        </w:rPr>
        <w:t>Th</w:t>
      </w:r>
      <w:r w:rsidR="002F79DB">
        <w:rPr>
          <w:rFonts w:eastAsia="Calibri"/>
          <w:color w:val="000000"/>
          <w:sz w:val="22"/>
          <w:szCs w:val="22"/>
          <w:lang w:val="en-US"/>
        </w:rPr>
        <w:t>e present document</w:t>
      </w:r>
      <w:r w:rsidRPr="003D63E8">
        <w:rPr>
          <w:rFonts w:eastAsia="Calibri"/>
          <w:color w:val="000000"/>
          <w:sz w:val="22"/>
          <w:szCs w:val="22"/>
          <w:lang w:val="en-US"/>
        </w:rPr>
        <w:t xml:space="preserve"> is provided for future development work within oneM2M only. The Partners accept no liability for any use of this </w:t>
      </w:r>
      <w:r w:rsidR="006A2494">
        <w:rPr>
          <w:rFonts w:eastAsia="Calibri"/>
          <w:color w:val="000000"/>
          <w:sz w:val="22"/>
          <w:szCs w:val="22"/>
          <w:lang w:val="en-US"/>
        </w:rPr>
        <w:t>s</w:t>
      </w:r>
      <w:r w:rsidRPr="003D63E8">
        <w:rPr>
          <w:rFonts w:eastAsia="Calibri"/>
          <w:color w:val="000000"/>
          <w:sz w:val="22"/>
          <w:szCs w:val="22"/>
          <w:lang w:val="en-US"/>
        </w:rPr>
        <w:t>pecification.</w:t>
      </w:r>
    </w:p>
    <w:p w14:paraId="20A109BC" w14:textId="77777777" w:rsidR="00BC33F7" w:rsidRPr="00055551" w:rsidRDefault="00E278AD" w:rsidP="00E278AD">
      <w:r w:rsidRPr="003D63E8">
        <w:rPr>
          <w:rFonts w:eastAsia="Calibri"/>
          <w:color w:val="000000"/>
          <w:sz w:val="22"/>
          <w:szCs w:val="22"/>
          <w:lang w:val="en-US"/>
        </w:rPr>
        <w:t>The present document has not been subject to any approval process by the oneM2M Partners Type 1.  Published oneM2M specifications and reports for implementation should be obtained via the oneM2M Partners' Publications Offices.</w:t>
      </w:r>
    </w:p>
    <w:p w14:paraId="5CFF36C1" w14:textId="77777777" w:rsidR="00BC33F7" w:rsidRPr="00055551" w:rsidRDefault="00BC33F7" w:rsidP="00BC33F7"/>
    <w:p w14:paraId="45E47290" w14:textId="77777777" w:rsidR="00BC33F7" w:rsidRPr="00055551" w:rsidRDefault="00BC33F7" w:rsidP="00BC33F7"/>
    <w:bookmarkEnd w:id="1"/>
    <w:p w14:paraId="680BE018" w14:textId="77777777" w:rsidR="00E278AD" w:rsidRPr="00E278AD" w:rsidRDefault="00787554" w:rsidP="00E278AD">
      <w:pPr>
        <w:spacing w:after="200"/>
        <w:ind w:left="720"/>
        <w:rPr>
          <w:rFonts w:eastAsia="Calibri"/>
          <w:sz w:val="22"/>
          <w:szCs w:val="22"/>
          <w:lang w:val="en-US"/>
        </w:rPr>
      </w:pPr>
      <w:r>
        <w:rPr>
          <w:rStyle w:val="Guidance"/>
          <w:sz w:val="36"/>
          <w:szCs w:val="36"/>
        </w:rPr>
        <w:br w:type="page"/>
      </w:r>
      <w:r w:rsidR="00E278AD" w:rsidRPr="00E278AD">
        <w:rPr>
          <w:rFonts w:eastAsia="Calibri"/>
          <w:sz w:val="22"/>
          <w:szCs w:val="22"/>
          <w:lang w:val="en-US"/>
        </w:rPr>
        <w:lastRenderedPageBreak/>
        <w:t xml:space="preserve">About oneM2M </w:t>
      </w:r>
    </w:p>
    <w:p w14:paraId="2AA0D422" w14:textId="77777777" w:rsidR="00E278AD" w:rsidRPr="00E278AD" w:rsidRDefault="00E278AD" w:rsidP="00E278AD">
      <w:pPr>
        <w:tabs>
          <w:tab w:val="left" w:pos="810"/>
          <w:tab w:val="left" w:pos="1350"/>
        </w:tabs>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 xml:space="preserve">The purpose and goal of oneM2M is to develop technical specifications which address the need for a common M2M Service Layer that can be readily embedded within various hardware and software, and relied upon to connect the myriad of devices in the field with M2M application servers worldwide. </w:t>
      </w:r>
    </w:p>
    <w:p w14:paraId="76F6E6E7" w14:textId="77777777" w:rsidR="00E278AD" w:rsidRPr="00E278AD" w:rsidRDefault="00E278AD" w:rsidP="00E278AD">
      <w:pPr>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More information about oneM2M may be found at:  http//www.oneM2M.org</w:t>
      </w:r>
    </w:p>
    <w:p w14:paraId="790521DA" w14:textId="77777777" w:rsidR="00E278AD" w:rsidRPr="00E278AD" w:rsidRDefault="00E278AD" w:rsidP="00E278AD">
      <w:pPr>
        <w:overflowPunct/>
        <w:autoSpaceDE/>
        <w:autoSpaceDN/>
        <w:adjustRightInd/>
        <w:spacing w:after="200"/>
        <w:ind w:left="720"/>
        <w:textAlignment w:val="auto"/>
        <w:rPr>
          <w:rFonts w:eastAsia="Calibri"/>
          <w:sz w:val="22"/>
          <w:szCs w:val="22"/>
          <w:lang w:val="en-US"/>
        </w:rPr>
      </w:pPr>
      <w:r w:rsidRPr="00E278AD">
        <w:rPr>
          <w:rFonts w:eastAsia="Calibri"/>
          <w:sz w:val="22"/>
          <w:szCs w:val="22"/>
          <w:lang w:val="en-US"/>
        </w:rPr>
        <w:t>Copyright Notification</w:t>
      </w:r>
    </w:p>
    <w:p w14:paraId="54F0A4CD" w14:textId="2087371D" w:rsidR="00E278AD" w:rsidRPr="00E278AD" w:rsidRDefault="00E278AD" w:rsidP="00E278AD">
      <w:pPr>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 xml:space="preserve">© </w:t>
      </w:r>
      <w:r w:rsidR="007E5980">
        <w:rPr>
          <w:rFonts w:eastAsia="Calibri"/>
          <w:sz w:val="22"/>
          <w:szCs w:val="22"/>
          <w:lang w:val="en-US"/>
        </w:rPr>
        <w:t>2026</w:t>
      </w:r>
      <w:r w:rsidRPr="00E278AD">
        <w:rPr>
          <w:rFonts w:eastAsia="Calibri"/>
          <w:sz w:val="22"/>
          <w:szCs w:val="22"/>
          <w:lang w:val="en-US"/>
        </w:rPr>
        <w:t>, oneM2M Partners Type 1.</w:t>
      </w:r>
    </w:p>
    <w:p w14:paraId="2EEF2903" w14:textId="77777777" w:rsidR="00C03C0C" w:rsidRDefault="00E278AD" w:rsidP="00C03C0C">
      <w:pPr>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All rights reserved.</w:t>
      </w:r>
    </w:p>
    <w:p w14:paraId="28051815" w14:textId="77777777" w:rsidR="00C03C0C" w:rsidRPr="00E278AD" w:rsidRDefault="00C03C0C" w:rsidP="00C03C0C">
      <w:pPr>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The copyright extend</w:t>
      </w:r>
      <w:r>
        <w:rPr>
          <w:rFonts w:eastAsia="Calibri"/>
          <w:sz w:val="22"/>
          <w:szCs w:val="22"/>
          <w:lang w:val="en-US"/>
        </w:rPr>
        <w:t>s</w:t>
      </w:r>
      <w:r w:rsidRPr="00E278AD">
        <w:rPr>
          <w:rFonts w:eastAsia="Calibri"/>
          <w:sz w:val="22"/>
          <w:szCs w:val="22"/>
          <w:lang w:val="en-US"/>
        </w:rPr>
        <w:t xml:space="preserve"> to reproduction in all media.</w:t>
      </w:r>
    </w:p>
    <w:p w14:paraId="667995C0" w14:textId="77777777" w:rsidR="00E278AD" w:rsidRPr="00E278AD" w:rsidRDefault="00E278AD" w:rsidP="00E278AD">
      <w:pPr>
        <w:overflowPunct/>
        <w:autoSpaceDE/>
        <w:autoSpaceDN/>
        <w:adjustRightInd/>
        <w:spacing w:after="200"/>
        <w:ind w:left="1440"/>
        <w:textAlignment w:val="auto"/>
        <w:rPr>
          <w:rFonts w:eastAsia="Calibri"/>
          <w:sz w:val="22"/>
          <w:szCs w:val="22"/>
          <w:lang w:val="en-US"/>
        </w:rPr>
      </w:pPr>
    </w:p>
    <w:p w14:paraId="6172C276" w14:textId="77777777" w:rsidR="00E278AD" w:rsidRPr="00E278AD" w:rsidRDefault="00E278AD" w:rsidP="00E278AD">
      <w:pPr>
        <w:overflowPunct/>
        <w:autoSpaceDE/>
        <w:autoSpaceDN/>
        <w:adjustRightInd/>
        <w:spacing w:after="200"/>
        <w:ind w:left="720"/>
        <w:textAlignment w:val="auto"/>
        <w:rPr>
          <w:rFonts w:eastAsia="Calibri"/>
          <w:sz w:val="22"/>
          <w:szCs w:val="22"/>
          <w:lang w:val="en-US"/>
        </w:rPr>
      </w:pPr>
      <w:r w:rsidRPr="00E278AD">
        <w:rPr>
          <w:rFonts w:eastAsia="Calibri"/>
          <w:sz w:val="22"/>
          <w:szCs w:val="22"/>
          <w:lang w:val="en-US"/>
        </w:rPr>
        <w:t xml:space="preserve">Notice of Disclaimer &amp; Limitation of Liability </w:t>
      </w:r>
    </w:p>
    <w:p w14:paraId="0A9B0F4C" w14:textId="77777777" w:rsidR="00E278AD" w:rsidRPr="00E278AD" w:rsidRDefault="00E278AD" w:rsidP="00E278AD">
      <w:pPr>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 xml:space="preserve">The information provided in this document is directed solely to professionals who have the appropriate degree of experience to understand and interpret its contents in accordance with generally accepted engineering or other professional standards and applicable regulations. No recommendation as to products or vendors is made or should be implied. </w:t>
      </w:r>
    </w:p>
    <w:p w14:paraId="2AD3BD9D" w14:textId="54ECCD6A" w:rsidR="00ED3F92" w:rsidRDefault="00E278AD" w:rsidP="00ED3F92">
      <w:pPr>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NO REPRESENTATION OR WARRANTY IS MADE THAT THE INFORMATION IS TECHNICALLY ACCURATE OR SUFFICIENT OR CONFORMS TO ANY STATUTE, GOVERNMENTAL RULE OR REGULATION, AND FURTHER, NO REPRESENTATION OR WARRANTY IS MADE OF MERCHANTABILITY OR FITNESS FOR ANY PARTICULAR PURPOSE OR AGAINST INFRINGEMENT OF INTELLECTUAL PROPERTY RIGHTS. NO oneM2M PARTNER TYPE 1 SHALL BE LIABLE, BEYOND THE AMOUNT OF ANY SUM RECEIVED IN PAYMENT BY THAT PARTNER FOR THIS DOCUMENT, WITH RESPECT TO ANY CLAIM, AND IN NO EVENT SHALL oneM2M BE LIABLE FOR LOST PROFITS OR OTHER INCIDENTAL OR CONSEQUENTIAL DAMAGES. oneM2M EXPRESSLY ADVISES ANY AND ALL USE OF OR RELIANCE UPON THIS INFORMATION PROVIDED IN THIS DOCUMENT IS AT THE RISK OF THE USER.</w:t>
      </w:r>
    </w:p>
    <w:p w14:paraId="1B913B6B" w14:textId="2DA13E88" w:rsidR="00ED3F92" w:rsidRDefault="00ED3F92" w:rsidP="00ED3F92">
      <w:pPr>
        <w:overflowPunct/>
        <w:autoSpaceDE/>
        <w:autoSpaceDN/>
        <w:adjustRightInd/>
        <w:spacing w:after="200"/>
        <w:ind w:left="1440"/>
        <w:textAlignment w:val="auto"/>
        <w:rPr>
          <w:rFonts w:eastAsia="Calibri"/>
          <w:sz w:val="22"/>
          <w:szCs w:val="22"/>
          <w:lang w:val="en-US"/>
        </w:rPr>
      </w:pPr>
    </w:p>
    <w:p w14:paraId="1DE8A5E6" w14:textId="01312EC4" w:rsidR="00ED3F92" w:rsidRDefault="00ED3F92" w:rsidP="00ED3F92">
      <w:pPr>
        <w:overflowPunct/>
        <w:autoSpaceDE/>
        <w:autoSpaceDN/>
        <w:adjustRightInd/>
        <w:spacing w:after="200"/>
        <w:ind w:left="1440"/>
        <w:textAlignment w:val="auto"/>
        <w:rPr>
          <w:rFonts w:eastAsia="Calibri"/>
          <w:sz w:val="22"/>
          <w:szCs w:val="22"/>
          <w:lang w:val="en-US"/>
        </w:rPr>
      </w:pPr>
    </w:p>
    <w:p w14:paraId="56DBD03F" w14:textId="49D0DFD2" w:rsidR="00ED3F92" w:rsidRDefault="00ED3F92" w:rsidP="00ED3F92">
      <w:pPr>
        <w:overflowPunct/>
        <w:autoSpaceDE/>
        <w:autoSpaceDN/>
        <w:adjustRightInd/>
        <w:spacing w:after="200"/>
        <w:ind w:left="1440"/>
        <w:textAlignment w:val="auto"/>
        <w:rPr>
          <w:rFonts w:eastAsia="Calibri"/>
          <w:sz w:val="22"/>
          <w:szCs w:val="22"/>
          <w:lang w:val="en-US"/>
        </w:rPr>
      </w:pPr>
    </w:p>
    <w:p w14:paraId="6D2765E9" w14:textId="1B7D87B2" w:rsidR="00ED3F92" w:rsidRDefault="00ED3F92" w:rsidP="00ED3F92">
      <w:pPr>
        <w:overflowPunct/>
        <w:autoSpaceDE/>
        <w:autoSpaceDN/>
        <w:adjustRightInd/>
        <w:spacing w:after="200"/>
        <w:ind w:left="1440"/>
        <w:textAlignment w:val="auto"/>
        <w:rPr>
          <w:rFonts w:eastAsia="Calibri"/>
          <w:sz w:val="22"/>
          <w:szCs w:val="22"/>
          <w:lang w:val="en-US"/>
        </w:rPr>
      </w:pPr>
    </w:p>
    <w:p w14:paraId="39CB6871" w14:textId="77777777" w:rsidR="00ED3F92" w:rsidRDefault="00ED3F92" w:rsidP="00ED3F92">
      <w:pPr>
        <w:overflowPunct/>
        <w:autoSpaceDE/>
        <w:autoSpaceDN/>
        <w:adjustRightInd/>
        <w:spacing w:after="200"/>
        <w:ind w:left="1440"/>
        <w:textAlignment w:val="auto"/>
        <w:rPr>
          <w:rFonts w:eastAsia="Calibri"/>
          <w:sz w:val="22"/>
          <w:szCs w:val="22"/>
          <w:lang w:val="en-US"/>
        </w:rPr>
      </w:pPr>
    </w:p>
    <w:p w14:paraId="364D905D" w14:textId="069A5C14" w:rsidR="00ED3F92" w:rsidRDefault="00ED3F92">
      <w:pPr>
        <w:overflowPunct/>
        <w:autoSpaceDE/>
        <w:autoSpaceDN/>
        <w:adjustRightInd/>
        <w:spacing w:after="0"/>
        <w:textAlignment w:val="auto"/>
        <w:rPr>
          <w:rFonts w:eastAsia="Calibri"/>
          <w:sz w:val="22"/>
          <w:szCs w:val="22"/>
          <w:lang w:val="en-US"/>
        </w:rPr>
      </w:pPr>
      <w:r>
        <w:rPr>
          <w:rFonts w:eastAsia="Calibri"/>
          <w:sz w:val="22"/>
          <w:szCs w:val="22"/>
          <w:lang w:val="en-US"/>
        </w:rPr>
        <w:br w:type="page"/>
      </w:r>
    </w:p>
    <w:p w14:paraId="6ACB2C00" w14:textId="77777777" w:rsidR="00ED3F92" w:rsidRDefault="00ED3F92">
      <w:pPr>
        <w:overflowPunct/>
        <w:autoSpaceDE/>
        <w:autoSpaceDN/>
        <w:adjustRightInd/>
        <w:spacing w:after="0"/>
        <w:textAlignment w:val="auto"/>
        <w:rPr>
          <w:rFonts w:eastAsia="Calibri"/>
          <w:sz w:val="22"/>
          <w:szCs w:val="22"/>
          <w:lang w:val="en-US"/>
        </w:rPr>
      </w:pPr>
    </w:p>
    <w:sdt>
      <w:sdtPr>
        <w:docPartObj>
          <w:docPartGallery w:val="Table of Contents"/>
          <w:docPartUnique/>
        </w:docPartObj>
      </w:sdtPr>
      <w:sdtContent>
        <w:p>
          <w:pPr>
            <w:pStyle w:val="TT"/>
          </w:pPr>
          <w:r>
            <w:t xml:space="preserve">Contents</w:t>
          </w:r>
        </w:p>
        <w:p>
          <w:r>
            <w:fldChar w:fldCharType="begin" w:dirty="true"/>
            <w:instrText xml:space="preserve">TOC \o 1-9 \h \z \u</w:instrText>
            <w:fldChar w:fldCharType="separate"/>
            <w:fldChar w:fldCharType="end"/>
          </w:r>
        </w:p>
        <w:p>
          <w:r>
            <w:br w:type="page"/>
          </w:r>
        </w:p>
      </w:sdtContent>
    </w:sdt>
    <w:bookmarkStart w:id="2" w:name="scope"/>
    <w:p>
      <w:r>
        <w:br w:type="page"/>
      </w:r>
    </w:p>
    <w:p>
      <w:pPr>
        <w:pStyle w:val="Heading1"/>
      </w:pPr>
      <w:r>
        <w:t>1</w:t>
        <w:tab/>
        <w:t xml:space="preserve">Scope</w:t>
      </w:r>
    </w:p>
    <w:p>
      <w:pPr>
        <w:pStyle w:val="Normal"/>
      </w:pPr>
      <w:r>
        <w:t xml:space="preserve">The present document defines principles and guidelines on how to interwork devices and gateways that comply to the OSGi framework to the oneM2M system. The interworking includes service exposure between an OSGi device or gateway and the oneM2M system. With the interworking, OSGi defined services can be made available by oneM2M defined resources. As a result, by making requests to oneM2M resources, applications can access the services provided by OSGi devices or gateways.</w:t>
      </w:r>
    </w:p>
    <w:bookmarkEnd w:id="2"/>
    <w:bookmarkStart w:id="3" w:name="references"/>
    <w:p>
      <w:pPr>
        <w:pStyle w:val="Heading1"/>
      </w:pPr>
      <w:r>
        <w:t>2</w:t>
        <w:tab/>
        <w:t xml:space="preserve">References</w:t>
      </w:r>
    </w:p>
    <w:bookmarkStart w:id="4" w:name="normative-references"/>
    <w:p>
      <w:pPr>
        <w:pStyle w:val="Heading2"/>
      </w:pPr>
      <w:r>
        <w:t>2.1</w:t>
        <w:tab/>
        <w:t xml:space="preserve">Normative references</w:t>
      </w:r>
    </w:p>
    <w:p>
      <w:pPr>
        <w:pStyle w:val="Normal"/>
      </w:pPr>
      <w:r>
        <w:t>References are either specific (identified by date of publication and/or edition number or version number) or nonspecific. For specific references, only the cited version applies. For non</w:t>
      </w:r>
      <w:r>
        <w:noBreakHyphen/>
      </w:r>
      <w:r>
        <w:t>specific references, the latest version of the referenced document (including any amendments) applies.</w:t>
      </w:r>
    </w:p>
    <w:p>
      <w:pPr>
        <w:pStyle w:val="Normal"/>
      </w:pPr>
      <w:r>
        <w:t xml:space="preserve">The following referenced documents are necessary for the application of the present document.</w:t>
      </w:r>
    </w:p>
    <w:p>
      <w:pPr>
        <w:pStyle w:val="EX"/>
      </w:pPr>
      <w:bookmarkStart w:id="5" w:name="X265a31bd79b370d6ad9fbecf643e6fa5b1c09d5"/>
      <w:bookmarkEnd w:id="3"/>
      <w:r>
        <w:t xml:space="preserve">[1]</w:t>
      </w:r>
      <w:r>
        <w:tab/>
      </w:r>
      <w:r>
        <w:t xml:space="preserve"> </w:t>
      </w:r>
      <w:r>
        <w:t xml:space="preserve">oneM2M TS-0023:</w:t>
      </w:r>
      <w:r>
        <w:t xml:space="preserve"> </w:t>
      </w:r>
      <w:r>
        <w:t xml:space="preserve">"Home Appliances Information Model and Mapping"</w:t>
      </w:r>
      <w:r>
        <w:t xml:space="preserve">.</w:t>
      </w:r>
    </w:p>
    <w:p>
      <w:pPr>
        <w:pStyle w:val="EX"/>
      </w:pPr>
      <w:bookmarkStart w:id="6" w:name="X43b58990f2b8fb6933d1a1555450410c613db3d"/>
      <w:bookmarkEnd w:id="4"/>
      <w:r>
        <w:t xml:space="preserve">[2]</w:t>
      </w:r>
      <w:r>
        <w:tab/>
      </w:r>
      <w:r>
        <w:t xml:space="preserve"> </w:t>
      </w:r>
      <w:r>
        <w:t xml:space="preserve">oneM2M TS-0033:</w:t>
      </w:r>
      <w:r>
        <w:t xml:space="preserve"> </w:t>
      </w:r>
      <w:r>
        <w:t xml:space="preserve">"Proximal IoT Interworking"</w:t>
      </w:r>
      <w:r>
        <w:t xml:space="preserve">.</w:t>
      </w:r>
    </w:p>
    <w:p>
      <w:pPr>
        <w:pStyle w:val="NO"/>
      </w:pPr>
      <w:r>
        <w:t>NOTE:</w:t>
      </w:r>
      <w:r>
        <w:tab/>
      </w:r>
      <w:r>
        <w:t xml:space="preserve">Available at</w:t>
      </w:r>
      <w:r>
        <w:t xml:space="preserve"> </w:t>
      </w:r>
      <w:hyperlink r:id="rId12">
        <w:r>
          <w:rPr>
            <w:rStyle w:val="Hyperlink"/>
          </w:rPr>
          <w:t xml:space="preserve">http://www.onem2m.org/technical/published-drafts</w:t>
        </w:r>
      </w:hyperlink>
      <w:r>
        <w:t xml:space="preserve">.</w:t>
      </w:r>
    </w:p>
    <w:bookmarkEnd w:id="5"/>
    <w:bookmarkStart w:id="7" w:name="informative-references"/>
    <w:p>
      <w:pPr>
        <w:pStyle w:val="Heading2"/>
      </w:pPr>
      <w:r>
        <w:t>2.2</w:t>
        <w:tab/>
        <w:t xml:space="preserve">Informative references</w:t>
      </w:r>
    </w:p>
    <w:p>
      <w:pPr>
        <w:pStyle w:val="Normal"/>
      </w:pPr>
      <w:r>
        <w:t>References are either specific (identified by date of publication and/or edition number or version number) or nonspecific. For specific references, only the cited version applies. For non</w:t>
      </w:r>
      <w:r>
        <w:noBreakHyphen/>
      </w:r>
      <w:r>
        <w:t>specific references, the latest version of the referenced document (including any amendments) applies.</w:t>
      </w:r>
    </w:p>
    <w:p>
      <w:pPr>
        <w:pStyle w:val="Normal"/>
      </w:pPr>
      <w:r>
        <w:t xml:space="preserve">The following referenced documents are not necessary for the application of the present document but they assist the user with regard to a particular subject area.</w:t>
      </w:r>
    </w:p>
    <w:p>
      <w:pPr>
        <w:pStyle w:val="EX"/>
      </w:pPr>
      <w:bookmarkStart w:id="8" w:name="X66afd4be6391a858aac24940b4ca72517b04e47"/>
      <w:bookmarkEnd w:id="6"/>
      <w:r>
        <w:t xml:space="preserve">[i.1]</w:t>
      </w:r>
      <w:r>
        <w:tab/>
      </w:r>
      <w:r>
        <w:t xml:space="preserve"> </w:t>
      </w:r>
      <w:r>
        <w:t xml:space="preserve">oneM2M Drafting Rules.</w:t>
      </w:r>
    </w:p>
    <w:p>
      <w:pPr>
        <w:pStyle w:val="NO"/>
      </w:pPr>
      <w:r>
        <w:t>NOTE:</w:t>
      </w:r>
      <w:r>
        <w:tab/>
      </w:r>
      <w:r>
        <w:t xml:space="preserve">Available at</w:t>
      </w:r>
      <w:r>
        <w:t xml:space="preserve"> </w:t>
      </w:r>
      <w:hyperlink r:id="rId13">
        <w:r>
          <w:rPr>
            <w:rStyle w:val="Hyperlink"/>
          </w:rPr>
          <w:t xml:space="preserve">http://www.onem2m.org/images/files/oneM2M-Drafting-Rules.pdf</w:t>
        </w:r>
      </w:hyperlink>
      <w:r>
        <w:t xml:space="preserve">.</w:t>
      </w:r>
    </w:p>
    <w:p>
      <w:pPr>
        <w:pStyle w:val="EX"/>
      </w:pPr>
      <w:bookmarkStart w:id="9" w:name="X0de7e44a44d6143bac29bffc1197937db2aec84"/>
      <w:bookmarkEnd w:id="7"/>
      <w:r>
        <w:t xml:space="preserve">[i.2]</w:t>
      </w:r>
      <w:r>
        <w:tab/>
      </w:r>
      <w:r>
        <w:t xml:space="preserve"> </w:t>
      </w:r>
      <w:r>
        <w:t xml:space="preserve">OSGi Residential.</w:t>
      </w:r>
    </w:p>
    <w:p>
      <w:pPr>
        <w:pStyle w:val="NO"/>
      </w:pPr>
      <w:r>
        <w:t>NOTE:</w:t>
      </w:r>
      <w:r>
        <w:tab/>
      </w:r>
      <w:r>
        <w:t xml:space="preserve">Available at</w:t>
      </w:r>
      <w:r>
        <w:t xml:space="preserve"> </w:t>
      </w:r>
      <w:hyperlink r:id="rId14">
        <w:r>
          <w:rPr>
            <w:rStyle w:val="Hyperlink"/>
          </w:rPr>
          <w:t xml:space="preserve">https://osgi.org/download/r6/osgi.residential-6.0.0.pdf</w:t>
        </w:r>
      </w:hyperlink>
      <w:r>
        <w:t xml:space="preserve">.</w:t>
      </w:r>
    </w:p>
    <w:bookmarkEnd w:id="8"/>
    <w:bookmarkEnd w:id="9"/>
    <w:bookmarkStart w:id="10" w:name="abbreviations"/>
    <w:p>
      <w:pPr>
        <w:pStyle w:val="Heading1"/>
      </w:pPr>
      <w:r>
        <w:t>3</w:t>
        <w:tab/>
        <w:t xml:space="preserve">Abbreviations</w:t>
      </w:r>
    </w:p>
    <w:p>
      <w:pPr>
        <w:pStyle w:val="Normal"/>
      </w:pPr>
      <w:r>
        <w:t xml:space="preserve">For the purposes of the present document, the following abbreviations apply:</w:t>
      </w:r>
    </w:p>
    <w:p>
      <w:pPr>
        <w:pStyle w:val="EW"/>
      </w:pPr>
      <w:r>
        <w:t>DAL</w:t>
      </w:r>
      <w:r>
        <w:tab/>
      </w:r>
      <w:r>
        <w:t>Device Abstraction Layer</w:t>
      </w:r>
    </w:p>
    <w:p>
      <w:pPr>
        <w:pStyle w:val="EW"/>
      </w:pPr>
      <w:r>
        <w:t>AE</w:t>
      </w:r>
      <w:r>
        <w:tab/>
      </w:r>
      <w:r>
        <w:t>Application Entity</w:t>
      </w:r>
    </w:p>
    <w:p>
      <w:pPr>
        <w:pStyle w:val="EW"/>
      </w:pPr>
      <w:r>
        <w:t>CSE</w:t>
      </w:r>
      <w:r>
        <w:tab/>
      </w:r>
      <w:r>
        <w:t>Common Services Entity</w:t>
      </w:r>
    </w:p>
    <w:p>
      <w:pPr>
        <w:pStyle w:val="EW"/>
      </w:pPr>
      <w:r>
        <w:t>SDT</w:t>
      </w:r>
      <w:r>
        <w:tab/>
      </w:r>
      <w:r>
        <w:t>Smart Device Template</w:t>
      </w:r>
    </w:p>
    <w:p>
      <w:pPr>
        <w:pStyle w:val="EW"/>
      </w:pPr>
      <w:r>
        <w:t>DMT</w:t>
      </w:r>
      <w:r>
        <w:tab/>
      </w:r>
      <w:r>
        <w:t>Device Management Tree</w:t>
      </w:r>
    </w:p>
    <w:p>
      <w:pPr>
        <w:pStyle w:val="EW"/>
      </w:pPr>
      <w:r>
        <w:t>IPE</w:t>
      </w:r>
      <w:r>
        <w:tab/>
      </w:r>
      <w:r>
        <w:t>Interworking Proxy Entity</w:t>
      </w:r>
    </w:p>
    <w:p>
      <w:pPr>
        <w:pStyle w:val="EW"/>
      </w:pPr>
      <w:r>
        <w:t>HAIM</w:t>
      </w:r>
      <w:r>
        <w:tab/>
      </w:r>
      <w:r>
        <w:t>Home Appliance Information Model</w:t>
      </w:r>
    </w:p>
    <w:p>
      <w:pPr>
        <w:pStyle w:val="EW"/>
      </w:pPr>
      <w:r>
        <w:t>UID</w:t>
      </w:r>
      <w:r>
        <w:tab/>
      </w:r>
      <w:r>
        <w:t>Unique Identifier</w:t>
      </w:r>
    </w:p>
    <w:p>
      <w:pPr>
        <w:pStyle w:val="EW"/>
      </w:pPr>
      <w:r>
        <w:t>UIDS</w:t>
      </w:r>
      <w:r>
        <w:tab/>
      </w:r>
      <w:r>
        <w:t>Unique Identifiers</w:t>
      </w:r>
    </w:p>
    <w:p>
      <w:pPr>
        <w:pStyle w:val="EW"/>
      </w:pPr>
      <w:r>
        <w:t>TS</w:t>
      </w:r>
      <w:r>
        <w:tab/>
      </w:r>
      <w:r>
        <w:t>Technical Specification</w:t>
      </w:r>
    </w:p>
    <w:bookmarkEnd w:id="10"/>
    <w:bookmarkStart w:id="11" w:name="conventions"/>
    <w:p>
      <w:pPr>
        <w:pStyle w:val="Heading1"/>
      </w:pPr>
      <w:r>
        <w:t>4</w:t>
        <w:tab/>
        <w:t xml:space="preserve">Conventions</w:t>
      </w:r>
    </w:p>
    <w:p>
      <w:pPr>
        <w:pStyle w:val="Normal"/>
      </w:pPr>
      <w:r>
        <w:t xml:space="preserve">The key words</w:t>
      </w:r>
      <w:r>
        <w:t xml:space="preserve"> </w:t>
      </w:r>
      <w:r>
        <w:t xml:space="preserve">"Shall"</w:t>
      </w:r>
      <w:r>
        <w:t xml:space="preserve">,</w:t>
      </w:r>
      <w:r>
        <w:t xml:space="preserve"> </w:t>
      </w:r>
      <w:r>
        <w:t xml:space="preserve">"Shall not"</w:t>
      </w:r>
      <w:r>
        <w:t xml:space="preserve">,</w:t>
      </w:r>
      <w:r>
        <w:t xml:space="preserve"> </w:t>
      </w:r>
      <w:r>
        <w:t xml:space="preserve">"May"</w:t>
      </w:r>
      <w:r>
        <w:t xml:space="preserve">,</w:t>
      </w:r>
      <w:r>
        <w:t xml:space="preserve"> </w:t>
      </w:r>
      <w:r>
        <w:t xml:space="preserve">"Need not"</w:t>
      </w:r>
      <w:r>
        <w:t xml:space="preserve">,</w:t>
      </w:r>
      <w:r>
        <w:t xml:space="preserve"> </w:t>
      </w:r>
      <w:r>
        <w:t xml:space="preserve">"Should"</w:t>
      </w:r>
      <w:r>
        <w:t xml:space="preserve">,</w:t>
      </w:r>
      <w:r>
        <w:t xml:space="preserve"> </w:t>
      </w:r>
      <w:r>
        <w:t xml:space="preserve">"Should not"</w:t>
      </w:r>
      <w:r>
        <w:t xml:space="preserve"> </w:t>
      </w:r>
      <w:r>
        <w:t xml:space="preserve">in this document are to be interpreted as described in the oneM2M Drafting Rules</w:t>
      </w:r>
      <w:r>
        <w:t xml:space="preserve"> </w:t>
      </w:r>
      <w:hyperlink w:anchor="X66afd4be6391a858aac24940b4ca72517b04e47">
        <w:r>
          <w:rPr>
            <w:rStyle w:val="Normal"/>
          </w:rPr>
          <w:t xml:space="preserve">[i.1]</w:t>
        </w:r>
      </w:hyperlink>
      <w:r>
        <w:t xml:space="preserve">.</w:t>
      </w:r>
    </w:p>
    <w:bookmarkEnd w:id="11"/>
    <w:bookmarkStart w:id="12" w:name="osgi-interworking-general-architecture"/>
    <w:p>
      <w:pPr>
        <w:pStyle w:val="Heading1"/>
      </w:pPr>
      <w:r>
        <w:t>5</w:t>
        <w:tab/>
        <w:t xml:space="preserve">OSGi Interworking General Architecture</w:t>
      </w:r>
    </w:p>
    <w:bookmarkStart w:id="13" w:name="osgi-interworking-architecture"/>
    <w:p>
      <w:pPr>
        <w:pStyle w:val="Heading2"/>
      </w:pPr>
      <w:r>
        <w:t>5.1</w:t>
        <w:tab/>
        <w:t xml:space="preserve">OSGi Interworking Architecture</w:t>
      </w:r>
    </w:p>
    <w:p xmlns:a="http://schemas.openxmlformats.org/drawingml/2006/main" xmlns:pic="http://schemas.openxmlformats.org/drawingml/2006/picture">
      <w:pPr>
        <w:pStyle w:val="FL"/>
      </w:pPr>
      <w:r>
        <w:drawing>
          <wp:inline>
            <wp:extent cx="6108700" cy="3097135"/>
            <wp:effectExtent b="0" l="0" r="0" t="0"/>
            <wp:docPr descr="Figure 5.1-1: OSGi Interworking Architecture" title="" id="2" name="Picture"/>
            <a:graphic>
              <a:graphicData uri="http://schemas.openxmlformats.org/drawingml/2006/picture">
                <pic:pic>
                  <pic:nvPicPr>
                    <pic:cNvPr descr="./media/5.1-1.png" id="2" name="Picture"/>
                    <pic:cNvPicPr>
                      <a:picLocks noChangeArrowheads="1" noChangeAspect="1"/>
                    </pic:cNvPicPr>
                  </pic:nvPicPr>
                  <pic:blipFill>
                    <a:blip r:embed="rId15"/>
                    <a:stretch>
                      <a:fillRect/>
                    </a:stretch>
                  </pic:blipFill>
                  <pic:spPr bwMode="auto">
                    <a:xfrm>
                      <a:off x="0" y="0"/>
                      <a:ext cx="6108700" cy="3097135"/>
                    </a:xfrm>
                    <a:prstGeom prst="rect">
                      <a:avLst/>
                    </a:prstGeom>
                    <a:noFill/>
                    <a:ln w="9525">
                      <a:noFill/>
                      <a:headEnd/>
                      <a:tailEnd/>
                    </a:ln>
                  </pic:spPr>
                </pic:pic>
              </a:graphicData>
            </a:graphic>
          </wp:inline>
        </w:drawing>
      </w:r>
    </w:p>
    <w:p>
      <w:pPr>
        <w:pStyle w:val="TF"/>
      </w:pPr>
      <w:r>
        <w:t xml:space="preserve">Figure 5.1-1: OSGi Interworking Architecture</w:t>
      </w:r>
    </w:p>
    <w:p>
      <w:pPr>
        <w:pStyle w:val="Normal"/>
      </w:pPr>
      <w:r>
        <w:t>OSGi Interworking is to interwork services provided by an OSGi based device or gateway to oneM2M entities which may be an AE or CSE. The OSGi services may include an OSGi defined DAL (Device Abstraction Layer) service, SDT (Smart Device Template) service, DMT (device management tree) admin service, other standardized services or proprietary services. The oneM2M</w:t>
      </w:r>
      <w:r>
        <w:noBreakHyphen/>
      </w:r>
      <w:r>
        <w:t>OSGi IPE bundle is in charge of the interworking of OSGi services to oneM2M resources and vice versa.</w:t>
      </w:r>
    </w:p>
    <w:p>
      <w:pPr>
        <w:pStyle w:val="Normal"/>
      </w:pPr>
      <w:r>
        <w:t xml:space="preserve">The IPE bundle maps the invocation of the OSGi services and changes of state of oneM2M resources. If the OSGi based device or gateway hosts a CSE bundle, the IPE interacts with the CSE bundle internally. The OSGi based device or gateway interacts with the other oneM2M entities through Mca or Mcc reference point. If the OSGi based device or gateway does not host a CSE bundle, the IPE interacts with the CSE through a network interface.</w:t>
      </w:r>
    </w:p>
    <w:p>
      <w:pPr>
        <w:pStyle w:val="Normal"/>
      </w:pPr>
      <w:r>
        <w:t>The principle of how the interworking should be done shall follow the definition in oneM2M TS</w:t>
      </w:r>
      <w:r>
        <w:noBreakHyphen/>
      </w:r>
      <w:r>
        <w:t>0033</w:t>
      </w:r>
      <w:r>
        <w:t xml:space="preserve"> </w:t>
      </w:r>
      <w:hyperlink w:anchor="X43b58990f2b8fb6933d1a1555450410c613db3d">
        <w:r>
          <w:rPr>
            <w:rStyle w:val="Normal"/>
          </w:rPr>
          <w:t xml:space="preserve">[2]</w:t>
        </w:r>
      </w:hyperlink>
      <w:r>
        <w:t xml:space="preserve"> </w:t>
      </w:r>
      <w:r>
        <w:t>proximal IoT interworking. For devices described by HAIM (Home Appliance Information Model) in oneM2M TS</w:t>
      </w:r>
      <w:r>
        <w:noBreakHyphen/>
      </w:r>
      <w:r>
        <w:t>0023</w:t>
      </w:r>
      <w:r>
        <w:t xml:space="preserve"> </w:t>
      </w:r>
      <w:hyperlink w:anchor="X265a31bd79b370d6ad9fbecf643e6fa5b1c09d5">
        <w:r>
          <w:rPr>
            <w:rStyle w:val="Normal"/>
          </w:rPr>
          <w:t xml:space="preserve">[1]</w:t>
        </w:r>
      </w:hyperlink>
      <w:r>
        <w:t xml:space="preserve">,</w:t>
      </w:r>
      <w:r>
        <w:t xml:space="preserve"> </w:t>
      </w:r>
      <w:r>
        <w:rPr>
          <w:i/>
          <w:iCs/>
        </w:rPr>
        <w:t xml:space="preserve">&lt;flexContainer&gt;</w:t>
      </w:r>
      <w:r>
        <w:t xml:space="preserve"> </w:t>
      </w:r>
      <w:r>
        <w:t xml:space="preserve">resources shall be used to represent the OSGi services. oneM2M also allows the transparent interworking of OSGi services through</w:t>
      </w:r>
      <w:r>
        <w:t xml:space="preserve"> </w:t>
      </w:r>
      <w:r>
        <w:rPr>
          <w:i/>
          <w:iCs/>
        </w:rPr>
        <w:t xml:space="preserve">&lt;container&gt;</w:t>
      </w:r>
      <w:r>
        <w:t xml:space="preserve"> </w:t>
      </w:r>
      <w:r>
        <w:t xml:space="preserve">resources,</w:t>
      </w:r>
      <w:r>
        <w:t xml:space="preserve"> </w:t>
      </w:r>
      <w:r>
        <w:rPr>
          <w:i/>
          <w:iCs/>
        </w:rPr>
        <w:t xml:space="preserve">&lt;AE&gt;</w:t>
      </w:r>
      <w:r>
        <w:t xml:space="preserve"> </w:t>
      </w:r>
      <w:r>
        <w:t xml:space="preserve">resources and</w:t>
      </w:r>
      <w:r>
        <w:t xml:space="preserve"> </w:t>
      </w:r>
      <w:r>
        <w:rPr>
          <w:i/>
          <w:iCs/>
        </w:rPr>
        <w:t xml:space="preserve">&lt;node&gt;</w:t>
      </w:r>
      <w:r>
        <w:t xml:space="preserve"> </w:t>
      </w:r>
      <w:r>
        <w:t>resources as defined in oneM2M TS</w:t>
      </w:r>
      <w:r>
        <w:noBreakHyphen/>
      </w:r>
      <w:r>
        <w:t>0033</w:t>
      </w:r>
      <w:r>
        <w:t xml:space="preserve"> </w:t>
      </w:r>
      <w:hyperlink w:anchor="X43b58990f2b8fb6933d1a1555450410c613db3d">
        <w:r>
          <w:rPr>
            <w:rStyle w:val="Normal"/>
          </w:rPr>
          <w:t xml:space="preserve">[2]</w:t>
        </w:r>
      </w:hyperlink>
      <w:r>
        <w:t xml:space="preserve">.</w:t>
      </w:r>
    </w:p>
    <w:bookmarkEnd w:id="12"/>
    <w:bookmarkEnd w:id="13"/>
    <w:bookmarkStart w:id="14" w:name="mapping-of-osgi-dal"/>
    <w:p>
      <w:pPr>
        <w:pStyle w:val="Heading1"/>
      </w:pPr>
      <w:r>
        <w:t>6</w:t>
        <w:tab/>
        <w:t xml:space="preserve">Mapping of OSGi DAL</w:t>
      </w:r>
    </w:p>
    <w:bookmarkStart w:id="15" w:name="introduction"/>
    <w:p>
      <w:pPr>
        <w:pStyle w:val="Heading2"/>
      </w:pPr>
      <w:r>
        <w:t>6.1</w:t>
        <w:tab/>
        <w:t xml:space="preserve">Introduction</w:t>
      </w:r>
    </w:p>
    <w:p>
      <w:pPr>
        <w:pStyle w:val="Normal"/>
      </w:pPr>
      <w:r>
        <w:t xml:space="preserve">The OSGi DAL (Device Abstraction Layer)</w:t>
      </w:r>
      <w:r>
        <w:t xml:space="preserve"> </w:t>
      </w:r>
      <w:hyperlink w:anchor="X0de7e44a44d6143bac29bffc1197937db2aec84">
        <w:r>
          <w:rPr>
            <w:rStyle w:val="Normal"/>
          </w:rPr>
          <w:t xml:space="preserve">[i.2]</w:t>
        </w:r>
      </w:hyperlink>
      <w:r>
        <w:t xml:space="preserve"> </w:t>
      </w:r>
      <w:r>
        <w:t xml:space="preserve">is an OSGi defined service to unify interfaces for accessing devices. By using the OSGi DAL, application developers do not need to deal with protocol details to interact with different types of devices such as sensors, actuators, etc.</w:t>
      </w:r>
    </w:p>
    <w:p xmlns:a="http://schemas.openxmlformats.org/drawingml/2006/main" xmlns:pic="http://schemas.openxmlformats.org/drawingml/2006/picture">
      <w:pPr>
        <w:pStyle w:val="FL"/>
      </w:pPr>
      <w:r>
        <w:drawing>
          <wp:inline>
            <wp:extent cx="6108700" cy="2736047"/>
            <wp:effectExtent b="0" l="0" r="0" t="0"/>
            <wp:docPr descr="Figure 6.1-1: OSGi DAL [i.2]" title="" id="3" name="Picture"/>
            <a:graphic>
              <a:graphicData uri="http://schemas.openxmlformats.org/drawingml/2006/picture">
                <pic:pic>
                  <pic:nvPicPr>
                    <pic:cNvPr descr="media/6.1-1.png" id="3" name="Picture"/>
                    <pic:cNvPicPr>
                      <a:picLocks noChangeArrowheads="1" noChangeAspect="1"/>
                    </pic:cNvPicPr>
                  </pic:nvPicPr>
                  <pic:blipFill>
                    <a:blip r:embed="rId16"/>
                    <a:stretch>
                      <a:fillRect/>
                    </a:stretch>
                  </pic:blipFill>
                  <pic:spPr bwMode="auto">
                    <a:xfrm>
                      <a:off x="0" y="0"/>
                      <a:ext cx="6108700" cy="2736047"/>
                    </a:xfrm>
                    <a:prstGeom prst="rect">
                      <a:avLst/>
                    </a:prstGeom>
                    <a:noFill/>
                    <a:ln w="9525">
                      <a:noFill/>
                      <a:headEnd/>
                      <a:tailEnd/>
                    </a:ln>
                  </pic:spPr>
                </pic:pic>
              </a:graphicData>
            </a:graphic>
          </wp:inline>
        </w:drawing>
      </w:r>
    </w:p>
    <w:p>
      <w:pPr>
        <w:pStyle w:val="TF"/>
      </w:pPr>
      <w:r>
        <w:t xml:space="preserve">Figure 6.1-1: OSGi DAL</w:t>
      </w:r>
      <w:r>
        <w:t xml:space="preserve"> </w:t>
      </w:r>
      <w:hyperlink w:anchor="X0de7e44a44d6143bac29bffc1197937db2aec84">
        <w:r>
          <w:rPr>
            <w:rStyle w:val="Normal"/>
          </w:rPr>
          <w:t xml:space="preserve">[i.2]</w:t>
        </w:r>
      </w:hyperlink>
    </w:p>
    <w:p>
      <w:pPr>
        <w:pStyle w:val="Normal"/>
      </w:pPr>
      <w:r>
        <w:t xml:space="preserve">OSGi DAL is comprised of several services:</w:t>
      </w:r>
    </w:p>
    <w:p>
      <w:pPr>
        <w:pStyle w:val="B1"/>
      </w:pPr>
      <w:r>
        <w:t xml:space="preserve">Device: represents the registered device in the OSGi framework. The device service contains properties describing the device's metadata and context information. The device service has one or more function services.</w:t>
      </w:r>
    </w:p>
    <w:p>
      <w:pPr>
        <w:pStyle w:val="B1"/>
      </w:pPr>
      <w:r>
        <w:t xml:space="preserve">Function: represents the function provided by the device. The function could be data reporting or actuating. The function provides a set of FunctionData, properties and operations. A property is the data information that can be accessed by the application. An operation is the interface that can be invoked by an application to trigger a certain procedure. The function also posts FunctionEvent.</w:t>
      </w:r>
    </w:p>
    <w:p>
      <w:pPr>
        <w:pStyle w:val="B1"/>
      </w:pPr>
      <w:r>
        <w:t xml:space="preserve">FunctionEvent: represents the asynchronous event of the function. Once the event is triggered, the event is handled by the registered event handler.</w:t>
      </w:r>
    </w:p>
    <w:p>
      <w:pPr>
        <w:pStyle w:val="B1"/>
      </w:pPr>
      <w:r>
        <w:t xml:space="preserve">FunctionData: represents the data structure that contains the property and metadata of the function.</w:t>
      </w:r>
    </w:p>
    <w:p>
      <w:pPr>
        <w:pStyle w:val="B1"/>
      </w:pPr>
      <w:r>
        <w:t xml:space="preserve">PropertyMetadata: represents the metadata of the function property.</w:t>
      </w:r>
    </w:p>
    <w:p>
      <w:pPr>
        <w:pStyle w:val="B1"/>
      </w:pPr>
      <w:r>
        <w:t xml:space="preserve">OperationMetadata: represents the metadata of the function operation.</w:t>
      </w:r>
    </w:p>
    <w:bookmarkEnd w:id="14"/>
    <w:bookmarkStart w:id="16" w:name="device-service"/>
    <w:p>
      <w:pPr>
        <w:pStyle w:val="Heading2"/>
      </w:pPr>
      <w:r>
        <w:t>6.2</w:t>
        <w:tab/>
        <w:t xml:space="preserve">Device service</w:t>
      </w:r>
    </w:p>
    <w:p>
      <w:pPr>
        <w:pStyle w:val="Normal"/>
      </w:pPr>
      <w:r>
        <w:t xml:space="preserve">The device service defined by OSGi DAL maps to a oneM2M NoDN and is represented as a specialized</w:t>
      </w:r>
      <w:r>
        <w:t xml:space="preserve"> </w:t>
      </w:r>
      <w:r>
        <w:rPr>
          <w:i/>
          <w:iCs/>
        </w:rPr>
        <w:t xml:space="preserve">&lt;flexContainer&gt;</w:t>
      </w:r>
      <w:r>
        <w:t xml:space="preserve"> </w:t>
      </w:r>
      <w:r>
        <w:t xml:space="preserve">resource and a</w:t>
      </w:r>
      <w:r>
        <w:t xml:space="preserve"> </w:t>
      </w:r>
      <w:r>
        <w:rPr>
          <w:i/>
          <w:iCs/>
        </w:rPr>
        <w:t xml:space="preserve">&lt;node&gt;</w:t>
      </w:r>
      <w:r>
        <w:t xml:space="preserve"> </w:t>
      </w:r>
      <w:r>
        <w:t xml:space="preserve">resource.</w:t>
      </w:r>
    </w:p>
    <w:p>
      <w:pPr>
        <w:pStyle w:val="Normal"/>
      </w:pPr>
      <w:r>
        <w:t xml:space="preserve">The OSGi device service itself shall be mapped to a specialized</w:t>
      </w:r>
      <w:r>
        <w:t xml:space="preserve"> </w:t>
      </w:r>
      <w:r>
        <w:rPr>
          <w:i/>
          <w:iCs/>
        </w:rPr>
        <w:t xml:space="preserve">&lt;flexContainer&gt;</w:t>
      </w:r>
      <w:r>
        <w:t xml:space="preserve"> </w:t>
      </w:r>
      <w:r>
        <w:t xml:space="preserve">resource of a specific device model that the OSGi device service instance represents. The properties of an OSGi device service shall be mapped to the attributes of the</w:t>
      </w:r>
      <w:r>
        <w:t xml:space="preserve"> </w:t>
      </w:r>
      <w:r>
        <w:rPr>
          <w:i/>
          <w:iCs/>
        </w:rPr>
        <w:t xml:space="preserve">&lt;flexContainer&gt;</w:t>
      </w:r>
      <w:r>
        <w:t xml:space="preserve"> </w:t>
      </w:r>
      <w:r>
        <w:t xml:space="preserve">resource, the</w:t>
      </w:r>
      <w:r>
        <w:t xml:space="preserve"> </w:t>
      </w:r>
      <w:r>
        <w:rPr>
          <w:i/>
          <w:iCs/>
        </w:rPr>
        <w:t xml:space="preserve">&lt;node&gt;</w:t>
      </w:r>
      <w:r>
        <w:t xml:space="preserve"> </w:t>
      </w:r>
      <w:r>
        <w:t xml:space="preserve">resource, and its child</w:t>
      </w:r>
      <w:r>
        <w:t xml:space="preserve"> </w:t>
      </w:r>
      <w:r>
        <w:rPr>
          <w:i/>
          <w:iCs/>
        </w:rPr>
        <w:t xml:space="preserve">[deviceInfo]</w:t>
      </w:r>
      <w:r>
        <w:t xml:space="preserve"> </w:t>
      </w:r>
      <w:r>
        <w:t xml:space="preserve">resource.</w:t>
      </w:r>
    </w:p>
    <w:p>
      <w:pPr>
        <w:pStyle w:val="Normal"/>
      </w:pPr>
      <w:r>
        <w:t xml:space="preserve">Once an OSGi device service is registered at the OSGi framework, the IPE shall be responsible for acquiring all OSGi device service properties and other related services (such as OSGi function services) and creating the corresponding resources on the oneM2M CSE.</w:t>
      </w:r>
    </w:p>
    <w:p>
      <w:pPr>
        <w:pStyle w:val="Normal"/>
      </w:pPr>
      <w:r>
        <w:t xml:space="preserve">Upon the registration of an OSGi device service, the IPE should create a</w:t>
      </w:r>
      <w:r>
        <w:t xml:space="preserve"> </w:t>
      </w:r>
      <w:r>
        <w:rPr>
          <w:i/>
          <w:iCs/>
        </w:rPr>
        <w:t xml:space="preserve">&lt;node&gt;</w:t>
      </w:r>
      <w:r>
        <w:t xml:space="preserve"> </w:t>
      </w:r>
      <w:r>
        <w:t xml:space="preserve">resource and a</w:t>
      </w:r>
      <w:r>
        <w:t xml:space="preserve"> </w:t>
      </w:r>
      <w:r>
        <w:rPr>
          <w:i/>
          <w:iCs/>
        </w:rPr>
        <w:t xml:space="preserve">[deviceInfo]</w:t>
      </w:r>
      <w:r>
        <w:t xml:space="preserve"> </w:t>
      </w:r>
      <w:r>
        <w:t xml:space="preserve">specialization as the child resource of the</w:t>
      </w:r>
      <w:r>
        <w:t xml:space="preserve"> </w:t>
      </w:r>
      <w:r>
        <w:rPr>
          <w:i/>
          <w:iCs/>
        </w:rPr>
        <w:t xml:space="preserve">&lt;node&gt;</w:t>
      </w:r>
      <w:r>
        <w:t xml:space="preserve"> </w:t>
      </w:r>
      <w:r>
        <w:t xml:space="preserve">resource. The IPE should also create one_&lt;flexContainer&gt;_ resource with specialized mandatory</w:t>
      </w:r>
      <w:r>
        <w:t xml:space="preserve"> </w:t>
      </w:r>
      <w:r>
        <w:rPr>
          <w:i/>
          <w:iCs/>
        </w:rPr>
        <w:t xml:space="preserve">[customAttribute]</w:t>
      </w:r>
      <w:r>
        <w:t xml:space="preserve"> </w:t>
      </w:r>
      <w:r>
        <w:t xml:space="preserve">as a</w:t>
      </w:r>
      <w:r>
        <w:t xml:space="preserve"> </w:t>
      </w:r>
      <w:r>
        <w:rPr>
          <w:i/>
          <w:iCs/>
        </w:rPr>
        <w:t xml:space="preserve">'nodeLink'</w:t>
      </w:r>
      <w:r>
        <w:t xml:space="preserve"> </w:t>
      </w:r>
      <w:r>
        <w:t xml:space="preserve">attribute, which links to a</w:t>
      </w:r>
      <w:r>
        <w:t xml:space="preserve"> </w:t>
      </w:r>
      <w:r>
        <w:rPr>
          <w:i/>
          <w:iCs/>
        </w:rPr>
        <w:t xml:space="preserve">&lt;node&gt;</w:t>
      </w:r>
      <w:r>
        <w:t xml:space="preserve"> </w:t>
      </w:r>
      <w:r>
        <w:t xml:space="preserve">resource that is hosted on the same hosting CSE of the</w:t>
      </w:r>
      <w:r>
        <w:t xml:space="preserve"> </w:t>
      </w:r>
      <w:r>
        <w:rPr>
          <w:i/>
          <w:iCs/>
        </w:rPr>
        <w:t xml:space="preserve">&lt;flexContainer&gt;</w:t>
      </w:r>
      <w:r>
        <w:t xml:space="preserve"> </w:t>
      </w:r>
      <w:r>
        <w:t xml:space="preserve">. The mapping between OSGi device and oneM2M resources shall be as follows.</w:t>
      </w:r>
    </w:p>
    <w:p>
      <w:pPr>
        <w:pStyle w:val="TH"/>
      </w:pPr>
      <w:r>
        <w:t xml:space="preserve">Table 6.2-1: Mapping of OSGi device service to oneM2M resources</w:t>
      </w:r>
    </w:p>
    <w:tbl>
      <w:tblPr>
        <w:tblStyle w:val="Table"/>
        <w:tblW w:type="pct" w:w="5000"/>
        <w:tblLayout w:type="fixed"/>
        <w:tblLook w:firstRow="1" w:lastRow="0" w:firstColumn="0" w:lastColumn="0" w:noHBand="0" w:noVBand="0" w:val="0020"/>
        <w:tblCaption w:val="Table 6.2-1: Mapping of OSGi device service to oneM2M resources"/>
      </w:tblPr>
      <w:tblGrid>
        <w:gridCol w:w="2640"/>
        <w:gridCol w:w="2640"/>
        <w:gridCol w:w="2640"/>
      </w:tblGrid>
      <w:tr>
        <w:trPr>
          <w:tblHeader w:val="on"/>
        </w:trPr>
        <w:tc>
          <w:tcPr/>
          <w:p>
            <w:pPr>
              <w:pStyle w:val="TAH"/>
            </w:pPr>
            <w:r>
              <w:rPr>
                <w:b w:val="true"/>
              </w:rPr>
              <w:t xml:space="preserve">OSGi</w:t>
            </w:r>
          </w:p>
        </w:tc>
        <w:tc>
          <w:tcPr/>
          <w:p>
            <w:pPr>
              <w:pStyle w:val="TAH"/>
            </w:pPr>
            <w:r>
              <w:rPr>
                <w:b w:val="true"/>
              </w:rPr>
              <w:t xml:space="preserve">oneM2M</w:t>
            </w:r>
          </w:p>
        </w:tc>
        <w:tc>
          <w:tcPr/>
          <w:p>
            <w:pPr>
              <w:pStyle w:val="TAH"/>
            </w:pPr>
            <w:r>
              <w:rPr>
                <w:b w:val="true"/>
              </w:rPr>
              <w:t xml:space="preserve">Description</w:t>
            </w:r>
          </w:p>
        </w:tc>
      </w:tr>
      <w:tr>
        <w:tc>
          <w:tcPr/>
          <w:p>
            <w:pPr>
              <w:pStyle w:val="TAC"/>
            </w:pPr>
            <w:r>
              <w:t xml:space="preserve">OSGi device service</w:t>
            </w:r>
          </w:p>
        </w:tc>
        <w:tc>
          <w:tcPr/>
          <w:p>
            <w:pPr>
              <w:pStyle w:val="TAC"/>
            </w:pPr>
            <w:r>
              <w:rPr>
                <w:i/>
                <w:iCs/>
              </w:rPr>
              <w:t xml:space="preserve">&lt;node&gt;</w:t>
            </w:r>
            <w:r>
              <w:t xml:space="preserve"> </w:t>
            </w:r>
            <w:r>
              <w:t xml:space="preserve">resource,</w:t>
            </w:r>
            <w:r>
              <w:t xml:space="preserve"> </w:t>
            </w:r>
            <w:r>
              <w:rPr>
                <w:i/>
                <w:iCs/>
              </w:rPr>
              <w:t xml:space="preserve">[deviceInfo]</w:t>
            </w:r>
            <w:r>
              <w:t xml:space="preserve"> </w:t>
            </w:r>
            <w:r>
              <w:t xml:space="preserve">resource,</w:t>
            </w:r>
            <w:r>
              <w:t xml:space="preserve"> </w:t>
            </w:r>
            <w:r>
              <w:rPr>
                <w:i/>
                <w:iCs/>
              </w:rPr>
              <w:t xml:space="preserve">&lt;flexContainer&gt;</w:t>
            </w:r>
            <w:r>
              <w:t xml:space="preserve"> </w:t>
            </w:r>
            <w:r>
              <w:t xml:space="preserve">resource</w:t>
            </w:r>
          </w:p>
        </w:tc>
        <w:tc>
          <w:tcPr/>
          <w:p>
            <w:pPr>
              <w:pStyle w:val="TAC"/>
            </w:pPr>
            <w:r>
              <w:t xml:space="preserve">The</w:t>
            </w:r>
            <w:r>
              <w:t xml:space="preserve"> </w:t>
            </w:r>
            <w:r>
              <w:rPr>
                <w:i/>
                <w:iCs/>
              </w:rPr>
              <w:t xml:space="preserve">&lt;node&gt;</w:t>
            </w:r>
            <w:r>
              <w:t xml:space="preserve"> </w:t>
            </w:r>
            <w:r>
              <w:t xml:space="preserve">,</w:t>
            </w:r>
            <w:r>
              <w:t xml:space="preserve"> </w:t>
            </w:r>
            <w:r>
              <w:rPr>
                <w:i/>
                <w:iCs/>
              </w:rPr>
              <w:t xml:space="preserve">[deviceInfo]</w:t>
            </w:r>
            <w:r>
              <w:t xml:space="preserve"> </w:t>
            </w:r>
            <w:r>
              <w:t xml:space="preserve">and</w:t>
            </w:r>
            <w:r>
              <w:t xml:space="preserve"> </w:t>
            </w:r>
            <w:r>
              <w:rPr>
                <w:i/>
                <w:iCs/>
              </w:rPr>
              <w:t xml:space="preserve">&lt;flexContainer&gt;</w:t>
            </w:r>
            <w:r>
              <w:t xml:space="preserve"> </w:t>
            </w:r>
            <w:r>
              <w:t xml:space="preserve">resources are created upon the available of OSGi device service.</w:t>
            </w:r>
          </w:p>
        </w:tc>
      </w:tr>
      <w:tr>
        <w:tc>
          <w:tcPr/>
          <w:p>
            <w:pPr>
              <w:pStyle w:val="TAC"/>
            </w:pPr>
            <w:r>
              <w:t xml:space="preserve">SERVICE_UID property</w:t>
            </w:r>
          </w:p>
        </w:tc>
        <w:tc>
          <w:tcPr/>
          <w:p>
            <w:pPr>
              <w:pStyle w:val="TAC"/>
            </w:pPr>
            <w:r>
              <w:t xml:space="preserve">See description</w:t>
            </w:r>
          </w:p>
        </w:tc>
        <w:tc>
          <w:tcPr/>
          <w:p>
            <w:pPr>
              <w:pStyle w:val="TAC"/>
            </w:pPr>
            <w:r>
              <w:t xml:space="preserve">Maps to the resourceID of the</w:t>
            </w:r>
            <w:r>
              <w:t xml:space="preserve"> </w:t>
            </w:r>
            <w:r>
              <w:rPr>
                <w:i/>
                <w:iCs/>
              </w:rPr>
              <w:t xml:space="preserve">&lt;flexContainer&gt;</w:t>
            </w:r>
            <w:r>
              <w:t xml:space="preserve"> </w:t>
            </w:r>
            <w:r>
              <w:t xml:space="preserve">allocated by the Hosting CSE, however the value does not need to be same. The mapping between SERVICE_UID and resourceID is maintained by IPE internally.</w:t>
            </w:r>
          </w:p>
        </w:tc>
      </w:tr>
      <w:tr>
        <w:tc>
          <w:tcPr/>
          <w:p>
            <w:pPr>
              <w:pStyle w:val="TAC"/>
            </w:pPr>
            <w:r>
              <w:t xml:space="preserve">SERVICE_REFERENCE_UIDS property</w:t>
            </w:r>
          </w:p>
        </w:tc>
        <w:tc>
          <w:tcPr/>
          <w:p>
            <w:pPr>
              <w:pStyle w:val="TAC"/>
            </w:pPr>
            <w:r>
              <w:t xml:space="preserve">See description</w:t>
            </w:r>
          </w:p>
        </w:tc>
        <w:tc>
          <w:tcPr/>
          <w:p>
            <w:pPr>
              <w:pStyle w:val="TAC"/>
            </w:pPr>
            <w:r>
              <w:t xml:space="preserve">Reference device maps to the sub-device defined in oneM2M. Therefore, the reference device in OSGi is mapped to the hierarchical relationship of</w:t>
            </w:r>
            <w:r>
              <w:t xml:space="preserve"> </w:t>
            </w:r>
            <w:r>
              <w:rPr>
                <w:i/>
                <w:iCs/>
              </w:rPr>
              <w:t xml:space="preserve">&lt;flexContainer&gt;</w:t>
            </w:r>
            <w:r>
              <w:t xml:space="preserve"> </w:t>
            </w:r>
            <w:r>
              <w:t xml:space="preserve">resources.</w:t>
            </w:r>
          </w:p>
        </w:tc>
      </w:tr>
      <w:tr>
        <w:tc>
          <w:tcPr/>
          <w:p>
            <w:pPr>
              <w:pStyle w:val="TAC"/>
            </w:pPr>
            <w:r>
              <w:t xml:space="preserve">SERVICE_DRIVER property</w:t>
            </w:r>
          </w:p>
        </w:tc>
        <w:tc>
          <w:tcPr/>
          <w:p>
            <w:pPr>
              <w:pStyle w:val="TAC"/>
            </w:pPr>
            <w:r>
              <w:rPr>
                <w:i/>
                <w:iCs/>
              </w:rPr>
              <w:t xml:space="preserve">areaNwkType</w:t>
            </w:r>
            <w:r>
              <w:t xml:space="preserve"> </w:t>
            </w:r>
            <w:r>
              <w:t xml:space="preserve">attribute of</w:t>
            </w:r>
            <w:r>
              <w:t xml:space="preserve"> </w:t>
            </w:r>
            <w:r>
              <w:rPr>
                <w:i/>
                <w:iCs/>
              </w:rPr>
              <w:t xml:space="preserve">[areaNwkInfo]</w:t>
            </w:r>
            <w:r>
              <w:t xml:space="preserve"> </w:t>
            </w:r>
            <w:r>
              <w:t xml:space="preserve">resource</w:t>
            </w:r>
          </w:p>
        </w:tc>
        <w:tc>
          <w:tcPr/>
          <w:p>
            <w:pPr>
              <w:pStyle w:val="TAC"/>
            </w:pPr>
            <w:r>
              <w:t xml:space="preserve">Service driver maps to the area network type.</w:t>
            </w:r>
          </w:p>
        </w:tc>
      </w:tr>
      <w:tr>
        <w:tc>
          <w:tcPr/>
          <w:p>
            <w:pPr>
              <w:pStyle w:val="TAC"/>
            </w:pPr>
            <w:r>
              <w:t xml:space="preserve">SERVICE_NAME property</w:t>
            </w:r>
          </w:p>
        </w:tc>
        <w:tc>
          <w:tcPr/>
          <w:p>
            <w:pPr>
              <w:pStyle w:val="TAC"/>
            </w:pPr>
            <w:r>
              <w:rPr>
                <w:i/>
                <w:iCs/>
              </w:rPr>
              <w:t xml:space="preserve">resourceName</w:t>
            </w:r>
            <w:r>
              <w:t xml:space="preserve"> </w:t>
            </w:r>
            <w:r>
              <w:t xml:space="preserve">attribute of</w:t>
            </w:r>
            <w:r>
              <w:t xml:space="preserve"> </w:t>
            </w:r>
            <w:r>
              <w:rPr>
                <w:i/>
                <w:iCs/>
              </w:rPr>
              <w:t xml:space="preserve">&lt;flexContainer&gt;</w:t>
            </w:r>
            <w:r>
              <w:t xml:space="preserve"> </w:t>
            </w:r>
            <w:r>
              <w:t xml:space="preserve">resource</w:t>
            </w:r>
          </w:p>
        </w:tc>
        <w:tc>
          <w:tcPr/>
          <w:p>
            <w:pPr>
              <w:pStyle w:val="TAC"/>
            </w:pPr>
            <w:r>
              <w:t xml:space="preserve">The SERVICE_NAME is used to request resource name of</w:t>
            </w:r>
            <w:r>
              <w:t xml:space="preserve"> </w:t>
            </w:r>
            <w:r>
              <w:rPr>
                <w:i/>
                <w:iCs/>
              </w:rPr>
              <w:t xml:space="preserve">&lt;flexContainer&gt;</w:t>
            </w:r>
            <w:r>
              <w:t xml:space="preserve"> </w:t>
            </w:r>
            <w:r>
              <w:t xml:space="preserve">resource.</w:t>
            </w:r>
          </w:p>
        </w:tc>
      </w:tr>
      <w:tr>
        <w:tc>
          <w:tcPr/>
          <w:p>
            <w:pPr>
              <w:pStyle w:val="TAC"/>
            </w:pPr>
            <w:r>
              <w:t xml:space="preserve">SERVICE_STATUS property</w:t>
            </w:r>
          </w:p>
        </w:tc>
        <w:tc>
          <w:tcPr/>
          <w:p>
            <w:pPr>
              <w:pStyle w:val="TAC"/>
            </w:pPr>
            <w:r>
              <w:t xml:space="preserve">See description</w:t>
            </w:r>
          </w:p>
        </w:tc>
        <w:tc>
          <w:tcPr/>
          <w:p>
            <w:pPr>
              <w:pStyle w:val="TAC"/>
            </w:pPr>
            <w:r>
              <w:t xml:space="preserve">Is maintained by lifecycle management of</w:t>
            </w:r>
            <w:r>
              <w:t xml:space="preserve"> </w:t>
            </w:r>
            <w:r>
              <w:rPr>
                <w:i/>
                <w:iCs/>
              </w:rPr>
              <w:t xml:space="preserve">&lt;flexContainer&gt;</w:t>
            </w:r>
            <w:r>
              <w:t xml:space="preserve"> </w:t>
            </w:r>
            <w:r>
              <w:t xml:space="preserve">resources. The</w:t>
            </w:r>
            <w:r>
              <w:t xml:space="preserve"> </w:t>
            </w:r>
            <w:r>
              <w:rPr>
                <w:i/>
                <w:iCs/>
              </w:rPr>
              <w:t xml:space="preserve">&lt;flexContainer&gt;</w:t>
            </w:r>
            <w:r>
              <w:t xml:space="preserve"> </w:t>
            </w:r>
            <w:r>
              <w:t xml:space="preserve">resource should only be created if the SERVICE_STATUS of the OSGi device is STATUS_ONLINE.</w:t>
            </w:r>
          </w:p>
        </w:tc>
      </w:tr>
      <w:tr>
        <w:tc>
          <w:tcPr/>
          <w:p>
            <w:pPr>
              <w:pStyle w:val="TAC"/>
            </w:pPr>
            <w:r>
              <w:t xml:space="preserve">SERVICE_STATUS_DETAIL property</w:t>
            </w:r>
          </w:p>
        </w:tc>
        <w:tc>
          <w:tcPr/>
          <w:p>
            <w:pPr>
              <w:pStyle w:val="TAC"/>
            </w:pPr>
            <w:r>
              <w:t xml:space="preserve">See description</w:t>
            </w:r>
          </w:p>
        </w:tc>
        <w:tc>
          <w:tcPr/>
          <w:p>
            <w:pPr>
              <w:pStyle w:val="TAC"/>
            </w:pPr>
            <w:r>
              <w:t xml:space="preserve">The status is not visible to oneM2M. The IPE will monitor the status change and reflect the status change in the lifecycle management of the</w:t>
            </w:r>
            <w:r>
              <w:t xml:space="preserve"> </w:t>
            </w:r>
            <w:r>
              <w:rPr>
                <w:i/>
                <w:iCs/>
              </w:rPr>
              <w:t xml:space="preserve">&lt;flexContainer&gt;</w:t>
            </w:r>
            <w:r>
              <w:t xml:space="preserve"> </w:t>
            </w:r>
            <w:r>
              <w:t xml:space="preserve">resource.</w:t>
            </w:r>
          </w:p>
        </w:tc>
      </w:tr>
      <w:tr>
        <w:tc>
          <w:tcPr/>
          <w:p>
            <w:pPr>
              <w:pStyle w:val="TAC"/>
            </w:pPr>
            <w:r>
              <w:t xml:space="preserve">SERVICE_HARDWARE_VENDOR property</w:t>
            </w:r>
          </w:p>
        </w:tc>
        <w:tc>
          <w:tcPr/>
          <w:p>
            <w:pPr>
              <w:pStyle w:val="TAC"/>
            </w:pPr>
            <w:r>
              <w:rPr>
                <w:i/>
                <w:iCs/>
              </w:rPr>
              <w:t xml:space="preserve">manufacturer</w:t>
            </w:r>
            <w:r>
              <w:t xml:space="preserve"> </w:t>
            </w:r>
            <w:r>
              <w:t xml:space="preserve">attribute of</w:t>
            </w:r>
            <w:r>
              <w:t xml:space="preserve"> </w:t>
            </w:r>
            <w:r>
              <w:rPr>
                <w:i/>
                <w:iCs/>
              </w:rPr>
              <w:t xml:space="preserve">[deviceInfo]</w:t>
            </w:r>
            <w:r>
              <w:t xml:space="preserve"> </w:t>
            </w:r>
            <w:r>
              <w:t xml:space="preserve">resource</w:t>
            </w:r>
          </w:p>
        </w:tc>
        <w:tc>
          <w:tcPr/>
          <w:p>
            <w:pPr>
              <w:pStyle w:val="TAC"/>
            </w:pPr>
            <w:r>
              <w:t xml:space="preserve">-</w:t>
            </w:r>
          </w:p>
        </w:tc>
      </w:tr>
      <w:tr>
        <w:tc>
          <w:tcPr/>
          <w:p>
            <w:pPr>
              <w:pStyle w:val="TAC"/>
            </w:pPr>
            <w:r>
              <w:t xml:space="preserve">SERVICE_HARDWARE_VERSION property</w:t>
            </w:r>
          </w:p>
        </w:tc>
        <w:tc>
          <w:tcPr/>
          <w:p>
            <w:pPr>
              <w:pStyle w:val="TAC"/>
            </w:pPr>
            <w:r>
              <w:rPr>
                <w:i/>
                <w:iCs/>
              </w:rPr>
              <w:t xml:space="preserve">hwVersion</w:t>
            </w:r>
            <w:r>
              <w:t xml:space="preserve"> </w:t>
            </w:r>
            <w:r>
              <w:t xml:space="preserve">attribute</w:t>
            </w:r>
            <w:r>
              <w:t xml:space="preserve"> </w:t>
            </w:r>
            <w:r>
              <w:rPr>
                <w:i/>
                <w:iCs/>
              </w:rPr>
              <w:t xml:space="preserve">[deviceInfo]</w:t>
            </w:r>
            <w:r>
              <w:t xml:space="preserve"> </w:t>
            </w:r>
            <w:r>
              <w:t xml:space="preserve">resource</w:t>
            </w:r>
          </w:p>
        </w:tc>
        <w:tc>
          <w:tcPr/>
          <w:p>
            <w:pPr>
              <w:pStyle w:val="TAC"/>
            </w:pPr>
            <w:r>
              <w:t xml:space="preserve">-</w:t>
            </w:r>
          </w:p>
        </w:tc>
      </w:tr>
      <w:tr>
        <w:tc>
          <w:tcPr/>
          <w:p>
            <w:pPr>
              <w:pStyle w:val="TAC"/>
            </w:pPr>
            <w:r>
              <w:t xml:space="preserve">SERVICE_FIRMWARE_VENDOR property</w:t>
            </w:r>
          </w:p>
        </w:tc>
        <w:tc>
          <w:tcPr/>
          <w:p>
            <w:pPr>
              <w:pStyle w:val="TAC"/>
            </w:pPr>
            <w:r>
              <w:rPr>
                <w:i/>
                <w:iCs/>
              </w:rPr>
              <w:t xml:space="preserve">labels</w:t>
            </w:r>
            <w:r>
              <w:t xml:space="preserve"> </w:t>
            </w:r>
            <w:r>
              <w:t xml:space="preserve">attribute of</w:t>
            </w:r>
            <w:r>
              <w:t xml:space="preserve"> </w:t>
            </w:r>
            <w:r>
              <w:rPr>
                <w:i/>
                <w:iCs/>
              </w:rPr>
              <w:t xml:space="preserve">[deviceInfo]</w:t>
            </w:r>
            <w:r>
              <w:t xml:space="preserve"> </w:t>
            </w:r>
            <w:r>
              <w:t xml:space="preserve">resource</w:t>
            </w:r>
          </w:p>
        </w:tc>
        <w:tc>
          <w:tcPr/>
          <w:p>
            <w:pPr>
              <w:pStyle w:val="TAC"/>
            </w:pPr>
            <w:r>
              <w:t xml:space="preserve">-</w:t>
            </w:r>
          </w:p>
        </w:tc>
      </w:tr>
      <w:tr>
        <w:tc>
          <w:tcPr/>
          <w:p>
            <w:pPr>
              <w:pStyle w:val="TAC"/>
            </w:pPr>
            <w:r>
              <w:t xml:space="preserve">SERVICE_FIRMWARE_VERSION property</w:t>
            </w:r>
          </w:p>
        </w:tc>
        <w:tc>
          <w:tcPr/>
          <w:p>
            <w:pPr>
              <w:pStyle w:val="TAC"/>
            </w:pPr>
            <w:r>
              <w:rPr>
                <w:i/>
                <w:iCs/>
              </w:rPr>
              <w:t xml:space="preserve">fwVersion</w:t>
            </w:r>
            <w:r>
              <w:t xml:space="preserve"> </w:t>
            </w:r>
            <w:r>
              <w:t xml:space="preserve">attribute of</w:t>
            </w:r>
            <w:r>
              <w:t xml:space="preserve"> </w:t>
            </w:r>
            <w:r>
              <w:rPr>
                <w:i/>
                <w:iCs/>
              </w:rPr>
              <w:t xml:space="preserve">[deviceInfo]</w:t>
            </w:r>
            <w:r>
              <w:t xml:space="preserve"> </w:t>
            </w:r>
            <w:r>
              <w:t xml:space="preserve">resource</w:t>
            </w:r>
          </w:p>
        </w:tc>
        <w:tc>
          <w:tcPr/>
          <w:p>
            <w:pPr>
              <w:pStyle w:val="TAC"/>
            </w:pPr>
            <w:r>
              <w:t xml:space="preserve">-</w:t>
            </w:r>
          </w:p>
        </w:tc>
      </w:tr>
      <w:tr>
        <w:tc>
          <w:tcPr/>
          <w:p>
            <w:pPr>
              <w:pStyle w:val="TAC"/>
            </w:pPr>
            <w:r>
              <w:t xml:space="preserve">SERVICE_TYPES property</w:t>
            </w:r>
          </w:p>
        </w:tc>
        <w:tc>
          <w:tcPr/>
          <w:p>
            <w:pPr>
              <w:pStyle w:val="TAC"/>
            </w:pPr>
            <w:r>
              <w:rPr>
                <w:i/>
                <w:iCs/>
              </w:rPr>
              <w:t xml:space="preserve">deviceType</w:t>
            </w:r>
            <w:r>
              <w:t xml:space="preserve"> </w:t>
            </w:r>
            <w:r>
              <w:t xml:space="preserve">attribute of</w:t>
            </w:r>
            <w:r>
              <w:t xml:space="preserve"> </w:t>
            </w:r>
            <w:r>
              <w:rPr>
                <w:i/>
                <w:iCs/>
              </w:rPr>
              <w:t xml:space="preserve">[deviceInfo]</w:t>
            </w:r>
            <w:r>
              <w:t xml:space="preserve"> </w:t>
            </w:r>
            <w:r>
              <w:t xml:space="preserve">resource</w:t>
            </w:r>
          </w:p>
        </w:tc>
        <w:tc>
          <w:tcPr/>
          <w:p>
            <w:pPr>
              <w:pStyle w:val="TAC"/>
            </w:pPr>
            <w:r>
              <w:t xml:space="preserve">-</w:t>
            </w:r>
          </w:p>
        </w:tc>
      </w:tr>
      <w:tr>
        <w:tc>
          <w:tcPr/>
          <w:p>
            <w:pPr>
              <w:pStyle w:val="TAC"/>
            </w:pPr>
            <w:r>
              <w:t xml:space="preserve">SERVICE_MODEL property</w:t>
            </w:r>
          </w:p>
        </w:tc>
        <w:tc>
          <w:tcPr/>
          <w:p>
            <w:pPr>
              <w:pStyle w:val="TAC"/>
            </w:pPr>
            <w:r>
              <w:rPr>
                <w:i/>
                <w:iCs/>
              </w:rPr>
              <w:t xml:space="preserve">model</w:t>
            </w:r>
            <w:r>
              <w:t xml:space="preserve"> </w:t>
            </w:r>
            <w:r>
              <w:t xml:space="preserve">attribute of</w:t>
            </w:r>
            <w:r>
              <w:t xml:space="preserve"> </w:t>
            </w:r>
            <w:r>
              <w:rPr>
                <w:i/>
                <w:iCs/>
              </w:rPr>
              <w:t xml:space="preserve">[deviceInfo]</w:t>
            </w:r>
            <w:r>
              <w:t xml:space="preserve"> </w:t>
            </w:r>
            <w:r>
              <w:t xml:space="preserve">resource</w:t>
            </w:r>
          </w:p>
        </w:tc>
        <w:tc>
          <w:tcPr/>
          <w:p>
            <w:pPr>
              <w:pStyle w:val="TAC"/>
            </w:pPr>
            <w:r>
              <w:t xml:space="preserve">-</w:t>
            </w:r>
          </w:p>
        </w:tc>
      </w:tr>
      <w:tr>
        <w:tc>
          <w:tcPr/>
          <w:p>
            <w:pPr>
              <w:pStyle w:val="TAC"/>
            </w:pPr>
            <w:r>
              <w:t xml:space="preserve">SERVICE_SERIAL_NUMBER property</w:t>
            </w:r>
          </w:p>
        </w:tc>
        <w:tc>
          <w:tcPr/>
          <w:p>
            <w:pPr>
              <w:pStyle w:val="TAC"/>
            </w:pPr>
            <w:r>
              <w:rPr>
                <w:i/>
                <w:iCs/>
              </w:rPr>
              <w:t xml:space="preserve">deviceLabel</w:t>
            </w:r>
            <w:r>
              <w:t xml:space="preserve"> </w:t>
            </w:r>
            <w:r>
              <w:t xml:space="preserve">attribute of</w:t>
            </w:r>
            <w:r>
              <w:t xml:space="preserve"> </w:t>
            </w:r>
            <w:r>
              <w:rPr>
                <w:i/>
                <w:iCs/>
              </w:rPr>
              <w:t xml:space="preserve">[deviceInfo]</w:t>
            </w:r>
            <w:r>
              <w:t xml:space="preserve"> </w:t>
            </w:r>
            <w:r>
              <w:t xml:space="preserve">resource</w:t>
            </w:r>
          </w:p>
        </w:tc>
        <w:tc>
          <w:tcPr/>
          <w:p>
            <w:pPr>
              <w:pStyle w:val="TAC"/>
            </w:pPr>
            <w:r>
              <w:t xml:space="preserve">-</w:t>
            </w:r>
          </w:p>
        </w:tc>
      </w:tr>
    </w:tbl>
    <w:bookmarkEnd w:id="15"/>
    <w:bookmarkStart w:id="17" w:name="function-service"/>
    <w:p>
      <w:pPr>
        <w:pStyle w:val="Heading2"/>
      </w:pPr>
      <w:r>
        <w:t>6.3</w:t>
        <w:tab/>
        <w:t xml:space="preserve">Function service</w:t>
      </w:r>
    </w:p>
    <w:bookmarkStart w:id="18" w:name="introduction-1"/>
    <w:p>
      <w:pPr>
        <w:pStyle w:val="Heading3"/>
      </w:pPr>
      <w:r>
        <w:t>6.3.1</w:t>
        <w:tab/>
        <w:t xml:space="preserve">Introduction</w:t>
      </w:r>
    </w:p>
    <w:p>
      <w:pPr>
        <w:pStyle w:val="Normal"/>
      </w:pPr>
      <w:r>
        <w:t xml:space="preserve">An OSGi function service maps to a specialized</w:t>
      </w:r>
      <w:r>
        <w:t xml:space="preserve"> </w:t>
      </w:r>
      <w:r>
        <w:rPr>
          <w:i/>
          <w:iCs/>
        </w:rPr>
        <w:t xml:space="preserve">&lt;flexContainer&gt;</w:t>
      </w:r>
      <w:r>
        <w:t xml:space="preserve"> </w:t>
      </w:r>
      <w:r>
        <w:t>resource that correspond to a moduleClass specified in oneM2M TS</w:t>
      </w:r>
      <w:r>
        <w:noBreakHyphen/>
      </w:r>
      <w:r>
        <w:t>0023</w:t>
      </w:r>
      <w:r>
        <w:t xml:space="preserve"> </w:t>
      </w:r>
      <w:hyperlink w:anchor="X265a31bd79b370d6ad9fbecf643e6fa5b1c09d5">
        <w:r>
          <w:rPr>
            <w:rStyle w:val="Normal"/>
          </w:rPr>
          <w:t xml:space="preserve">[1]</w:t>
        </w:r>
      </w:hyperlink>
      <w:r>
        <w:t xml:space="preserve">. An OSGi function service may be mapped to different</w:t>
      </w:r>
      <w:r>
        <w:t xml:space="preserve"> </w:t>
      </w:r>
      <w:r>
        <w:rPr>
          <w:i/>
          <w:iCs/>
        </w:rPr>
        <w:t xml:space="preserve">&lt;flexContainer&gt;</w:t>
      </w:r>
      <w:r>
        <w:t xml:space="preserve"> </w:t>
      </w:r>
      <w:r>
        <w:t xml:space="preserve">s that correspond to different moduleClasses depending on the OSGi device service that the OSGi function service belongs to.</w:t>
      </w:r>
    </w:p>
    <w:p>
      <w:pPr>
        <w:pStyle w:val="TH"/>
      </w:pPr>
      <w:r>
        <w:t xml:space="preserve">Table 6.3.1-1: Mapping of OSGi function to oneM2M resources</w:t>
      </w:r>
    </w:p>
    <w:tbl>
      <w:tblPr>
        <w:tblStyle w:val="Table"/>
        <w:tblW w:type="pct" w:w="5000"/>
        <w:tblLayout w:type="fixed"/>
        <w:tblLook w:firstRow="1" w:lastRow="0" w:firstColumn="0" w:lastColumn="0" w:noHBand="0" w:noVBand="0" w:val="0020"/>
        <w:tblCaption w:val="Table 6.3.1-1: Mapping of OSGi function to oneM2M resources"/>
      </w:tblPr>
      <w:tblGrid>
        <w:gridCol w:w="2640"/>
        <w:gridCol w:w="2640"/>
        <w:gridCol w:w="2640"/>
      </w:tblGrid>
      <w:tr>
        <w:trPr>
          <w:tblHeader w:val="on"/>
        </w:trPr>
        <w:tc>
          <w:tcPr/>
          <w:p>
            <w:pPr>
              <w:pStyle w:val="TAH"/>
            </w:pPr>
            <w:r>
              <w:rPr>
                <w:b w:val="true"/>
              </w:rPr>
              <w:t xml:space="preserve">OSGi</w:t>
            </w:r>
          </w:p>
        </w:tc>
        <w:tc>
          <w:tcPr/>
          <w:p>
            <w:pPr>
              <w:pStyle w:val="TAH"/>
            </w:pPr>
            <w:r>
              <w:rPr>
                <w:b w:val="true"/>
              </w:rPr>
              <w:t xml:space="preserve">oneM2M</w:t>
            </w:r>
          </w:p>
        </w:tc>
        <w:tc>
          <w:tcPr/>
          <w:p>
            <w:pPr>
              <w:pStyle w:val="TAH"/>
            </w:pPr>
            <w:r>
              <w:rPr>
                <w:b w:val="true"/>
              </w:rPr>
              <w:t xml:space="preserve">Description</w:t>
            </w:r>
          </w:p>
        </w:tc>
      </w:tr>
      <w:tr>
        <w:tc>
          <w:tcPr/>
          <w:p>
            <w:pPr>
              <w:pStyle w:val="TAC"/>
            </w:pPr>
            <w:r>
              <w:t xml:space="preserve">OSGi function service</w:t>
            </w:r>
          </w:p>
        </w:tc>
        <w:tc>
          <w:tcPr/>
          <w:p>
            <w:pPr>
              <w:pStyle w:val="TAC"/>
            </w:pPr>
            <w:r>
              <w:t xml:space="preserve">moduleClass</w:t>
            </w:r>
            <w:r>
              <w:t xml:space="preserve"> </w:t>
            </w:r>
            <w:r>
              <w:rPr>
                <w:i/>
                <w:iCs/>
              </w:rPr>
              <w:t xml:space="preserve">&lt;flexContainer&gt;</w:t>
            </w:r>
            <w:r>
              <w:t xml:space="preserve"> </w:t>
            </w:r>
            <w:r>
              <w:t xml:space="preserve">resource</w:t>
            </w:r>
          </w:p>
        </w:tc>
        <w:tc>
          <w:tcPr/>
          <w:p>
            <w:pPr>
              <w:pStyle w:val="TAC"/>
            </w:pPr>
            <w:r>
              <w:t xml:space="preserve">The function service is mapped to moduleClass</w:t>
            </w:r>
            <w:r>
              <w:t xml:space="preserve"> </w:t>
            </w:r>
            <w:r>
              <w:rPr>
                <w:i/>
                <w:iCs/>
              </w:rPr>
              <w:t xml:space="preserve">&lt;flexContainer&gt;</w:t>
            </w:r>
            <w:r>
              <w:t xml:space="preserve"> </w:t>
            </w:r>
            <w:r>
              <w:t xml:space="preserve">.</w:t>
            </w:r>
          </w:p>
        </w:tc>
      </w:tr>
      <w:tr>
        <w:tc>
          <w:tcPr/>
          <w:p>
            <w:pPr>
              <w:pStyle w:val="TAC"/>
            </w:pPr>
            <w:r>
              <w:t xml:space="preserve">SERVICE_UID property</w:t>
            </w:r>
          </w:p>
        </w:tc>
        <w:tc>
          <w:tcPr/>
          <w:p>
            <w:pPr>
              <w:pStyle w:val="TAC"/>
            </w:pPr>
            <w:r>
              <w:t xml:space="preserve">See description</w:t>
            </w:r>
          </w:p>
        </w:tc>
        <w:tc>
          <w:tcPr/>
          <w:p>
            <w:pPr>
              <w:pStyle w:val="TAC"/>
            </w:pPr>
            <w:r>
              <w:t xml:space="preserve">Maps to resourceID of</w:t>
            </w:r>
            <w:r>
              <w:t xml:space="preserve"> </w:t>
            </w:r>
            <w:r>
              <w:rPr>
                <w:i/>
                <w:iCs/>
              </w:rPr>
              <w:t xml:space="preserve">&lt;flexContainer&gt;</w:t>
            </w:r>
            <w:r>
              <w:t xml:space="preserve"> </w:t>
            </w:r>
            <w:r>
              <w:t xml:space="preserve">resource. The resourceID is allocated by Hosting CSE. The mapping relationship is maintained by IPE internally.</w:t>
            </w:r>
          </w:p>
        </w:tc>
      </w:tr>
      <w:tr>
        <w:tc>
          <w:tcPr/>
          <w:p>
            <w:pPr>
              <w:pStyle w:val="TAC"/>
            </w:pPr>
            <w:r>
              <w:t xml:space="preserve">SERVICE_TYPE property</w:t>
            </w:r>
          </w:p>
        </w:tc>
        <w:tc>
          <w:tcPr/>
          <w:p>
            <w:pPr>
              <w:pStyle w:val="TAC"/>
            </w:pPr>
            <w:r>
              <w:t xml:space="preserve">See description</w:t>
            </w:r>
          </w:p>
        </w:tc>
        <w:tc>
          <w:tcPr/>
          <w:p>
            <w:pPr>
              <w:pStyle w:val="TAC"/>
            </w:pPr>
            <w:r>
              <w:t xml:space="preserve">Maps to containerDefinition of</w:t>
            </w:r>
            <w:r>
              <w:t xml:space="preserve"> </w:t>
            </w:r>
            <w:r>
              <w:rPr>
                <w:i/>
                <w:iCs/>
              </w:rPr>
              <w:t xml:space="preserve">&lt;flexContainer&gt;</w:t>
            </w:r>
            <w:r>
              <w:t xml:space="preserve"> </w:t>
            </w:r>
            <w:r>
              <w:t xml:space="preserve">resource and is maintained by IPE.</w:t>
            </w:r>
          </w:p>
        </w:tc>
      </w:tr>
      <w:tr>
        <w:tc>
          <w:tcPr/>
          <w:p>
            <w:pPr>
              <w:pStyle w:val="TAC"/>
            </w:pPr>
            <w:r>
              <w:t xml:space="preserve">SERVICE_VERSION property</w:t>
            </w:r>
          </w:p>
        </w:tc>
        <w:tc>
          <w:tcPr/>
          <w:p>
            <w:pPr>
              <w:pStyle w:val="TAC"/>
            </w:pPr>
            <w:r>
              <w:rPr>
                <w:i/>
                <w:iCs/>
              </w:rPr>
              <w:t xml:space="preserve">labels</w:t>
            </w:r>
            <w:r>
              <w:t xml:space="preserve"> </w:t>
            </w:r>
            <w:r>
              <w:t xml:space="preserve">attribute of the</w:t>
            </w:r>
            <w:r>
              <w:t xml:space="preserve"> </w:t>
            </w:r>
            <w:r>
              <w:rPr>
                <w:i/>
                <w:iCs/>
              </w:rPr>
              <w:t xml:space="preserve">&lt;flexContainer&gt;</w:t>
            </w:r>
            <w:r>
              <w:t xml:space="preserve"> </w:t>
            </w:r>
            <w:r>
              <w:t xml:space="preserve">resource</w:t>
            </w:r>
          </w:p>
        </w:tc>
        <w:tc>
          <w:tcPr/>
          <w:p>
            <w:pPr>
              <w:pStyle w:val="TAC"/>
            </w:pPr>
            <w:r>
              <w:t xml:space="preserve">Versioning information of the OSGi service is mapped to</w:t>
            </w:r>
            <w:r>
              <w:t xml:space="preserve"> </w:t>
            </w:r>
            <w:r>
              <w:rPr>
                <w:i/>
                <w:iCs/>
              </w:rPr>
              <w:t xml:space="preserve">labels</w:t>
            </w:r>
            <w:r>
              <w:t xml:space="preserve"> </w:t>
            </w:r>
            <w:r>
              <w:t xml:space="preserve">attribute of the</w:t>
            </w:r>
            <w:r>
              <w:t xml:space="preserve"> </w:t>
            </w:r>
            <w:r>
              <w:rPr>
                <w:i/>
                <w:iCs/>
              </w:rPr>
              <w:t xml:space="preserve">&lt;flexContainer&gt;</w:t>
            </w:r>
            <w:r>
              <w:t xml:space="preserve"> </w:t>
            </w:r>
            <w:r>
              <w:t xml:space="preserve">resource.</w:t>
            </w:r>
          </w:p>
        </w:tc>
      </w:tr>
      <w:tr>
        <w:tc>
          <w:tcPr/>
          <w:p>
            <w:pPr>
              <w:pStyle w:val="TAC"/>
            </w:pPr>
            <w:r>
              <w:t xml:space="preserve">SERVICE_DEVICE_UID property</w:t>
            </w:r>
          </w:p>
        </w:tc>
        <w:tc>
          <w:tcPr/>
          <w:p>
            <w:pPr>
              <w:pStyle w:val="TAC"/>
            </w:pPr>
            <w:r>
              <w:t xml:space="preserve">See description</w:t>
            </w:r>
          </w:p>
        </w:tc>
        <w:tc>
          <w:tcPr/>
          <w:p>
            <w:pPr>
              <w:pStyle w:val="TAC"/>
            </w:pPr>
            <w:r>
              <w:t xml:space="preserve">Maintained by the parent-child relationship of device model</w:t>
            </w:r>
            <w:r>
              <w:t xml:space="preserve"> </w:t>
            </w:r>
            <w:r>
              <w:rPr>
                <w:i/>
                <w:iCs/>
              </w:rPr>
              <w:t xml:space="preserve">&lt;flexContainer&gt;</w:t>
            </w:r>
            <w:r>
              <w:t xml:space="preserve"> </w:t>
            </w:r>
            <w:r>
              <w:t xml:space="preserve">and moduleClass</w:t>
            </w:r>
            <w:r>
              <w:t xml:space="preserve"> </w:t>
            </w:r>
            <w:r>
              <w:rPr>
                <w:i/>
                <w:iCs/>
              </w:rPr>
              <w:t xml:space="preserve">&lt;flexContainer&gt;</w:t>
            </w:r>
          </w:p>
        </w:tc>
      </w:tr>
      <w:tr>
        <w:tc>
          <w:tcPr/>
          <w:p>
            <w:pPr>
              <w:pStyle w:val="TAC"/>
            </w:pPr>
            <w:r>
              <w:t xml:space="preserve">SERVICE_REFERENCE_UIDS property</w:t>
            </w:r>
          </w:p>
        </w:tc>
        <w:tc>
          <w:tcPr/>
          <w:p>
            <w:pPr>
              <w:pStyle w:val="TAC"/>
            </w:pPr>
            <w:r>
              <w:rPr>
                <w:i/>
                <w:iCs/>
              </w:rPr>
              <w:t xml:space="preserve">labels</w:t>
            </w:r>
            <w:r>
              <w:t xml:space="preserve"> </w:t>
            </w:r>
            <w:r>
              <w:t xml:space="preserve">attribute of the</w:t>
            </w:r>
            <w:r>
              <w:t xml:space="preserve"> </w:t>
            </w:r>
            <w:r>
              <w:rPr>
                <w:i/>
                <w:iCs/>
              </w:rPr>
              <w:t xml:space="preserve">&lt;flexContainer&gt;</w:t>
            </w:r>
            <w:r>
              <w:t xml:space="preserve"> </w:t>
            </w:r>
            <w:r>
              <w:t xml:space="preserve">resource</w:t>
            </w:r>
          </w:p>
        </w:tc>
        <w:tc>
          <w:tcPr/>
          <w:p>
            <w:pPr>
              <w:pStyle w:val="TAC"/>
            </w:pPr>
            <w:r>
              <w:t xml:space="preserve">Mappes to the</w:t>
            </w:r>
            <w:r>
              <w:t xml:space="preserve"> </w:t>
            </w:r>
            <w:r>
              <w:rPr>
                <w:i/>
                <w:iCs/>
              </w:rPr>
              <w:t xml:space="preserve">labels</w:t>
            </w:r>
            <w:r>
              <w:t xml:space="preserve"> </w:t>
            </w:r>
            <w:r>
              <w:t xml:space="preserve">attribute of the</w:t>
            </w:r>
            <w:r>
              <w:t xml:space="preserve"> </w:t>
            </w:r>
            <w:r>
              <w:rPr>
                <w:i/>
                <w:iCs/>
              </w:rPr>
              <w:t xml:space="preserve">&lt;flexContainer&gt;</w:t>
            </w:r>
            <w:r>
              <w:t xml:space="preserve"> </w:t>
            </w:r>
            <w:r>
              <w:t xml:space="preserve">resource.</w:t>
            </w:r>
          </w:p>
        </w:tc>
      </w:tr>
      <w:tr>
        <w:tc>
          <w:tcPr/>
          <w:p>
            <w:pPr>
              <w:pStyle w:val="TAC"/>
            </w:pPr>
            <w:r>
              <w:t xml:space="preserve">SERVICE_DESCRIPTION property</w:t>
            </w:r>
          </w:p>
        </w:tc>
        <w:tc>
          <w:tcPr/>
          <w:p>
            <w:pPr>
              <w:pStyle w:val="TAC"/>
            </w:pPr>
            <w:r>
              <w:rPr>
                <w:i/>
                <w:iCs/>
              </w:rPr>
              <w:t xml:space="preserve">labels</w:t>
            </w:r>
            <w:r>
              <w:t xml:space="preserve"> </w:t>
            </w:r>
            <w:r>
              <w:t xml:space="preserve">attribute of</w:t>
            </w:r>
            <w:r>
              <w:t xml:space="preserve"> </w:t>
            </w:r>
            <w:r>
              <w:rPr>
                <w:i/>
                <w:iCs/>
              </w:rPr>
              <w:t xml:space="preserve">&lt;flexContainer&gt;</w:t>
            </w:r>
            <w:r>
              <w:t xml:space="preserve"> </w:t>
            </w:r>
            <w:r>
              <w:t xml:space="preserve">resource</w:t>
            </w:r>
          </w:p>
        </w:tc>
        <w:tc>
          <w:tcPr/>
          <w:p>
            <w:pPr>
              <w:pStyle w:val="TAC"/>
            </w:pPr>
            <w:r>
              <w:t xml:space="preserve">The description of the service maps to the labels attribute of</w:t>
            </w:r>
            <w:r>
              <w:t xml:space="preserve"> </w:t>
            </w:r>
            <w:r>
              <w:rPr>
                <w:i/>
                <w:iCs/>
              </w:rPr>
              <w:t xml:space="preserve">&lt;flexContainer&gt;</w:t>
            </w:r>
            <w:r>
              <w:t xml:space="preserve"> </w:t>
            </w:r>
            <w:r>
              <w:t xml:space="preserve">resource.</w:t>
            </w:r>
          </w:p>
        </w:tc>
      </w:tr>
      <w:tr>
        <w:tc>
          <w:tcPr/>
          <w:p>
            <w:pPr>
              <w:pStyle w:val="TAC"/>
            </w:pPr>
            <w:r>
              <w:t xml:space="preserve">SERVICE_OPERATION_NAMES property</w:t>
            </w:r>
          </w:p>
        </w:tc>
        <w:tc>
          <w:tcPr/>
          <w:p>
            <w:pPr>
              <w:pStyle w:val="TAC"/>
            </w:pPr>
            <w:r>
              <w:rPr>
                <w:i/>
                <w:iCs/>
              </w:rPr>
              <w:t xml:space="preserve">&lt;flexContainer&gt;</w:t>
            </w:r>
            <w:r>
              <w:t xml:space="preserve"> </w:t>
            </w:r>
            <w:r>
              <w:t xml:space="preserve">resource for action</w:t>
            </w:r>
          </w:p>
        </w:tc>
        <w:tc>
          <w:tcPr/>
          <w:p>
            <w:pPr>
              <w:pStyle w:val="TAC"/>
            </w:pPr>
          </w:p>
        </w:tc>
      </w:tr>
      <w:tr>
        <w:tc>
          <w:tcPr/>
          <w:p>
            <w:pPr>
              <w:pStyle w:val="TAC"/>
            </w:pPr>
            <w:r>
              <w:t xml:space="preserve">SERVICE_PROPERTY_NAMES property</w:t>
            </w:r>
          </w:p>
        </w:tc>
        <w:tc>
          <w:tcPr/>
          <w:p>
            <w:pPr>
              <w:pStyle w:val="TAC"/>
            </w:pPr>
            <w:r>
              <w:rPr>
                <w:i/>
                <w:iCs/>
              </w:rPr>
              <w:t xml:space="preserve">&lt;flexContainer&gt;</w:t>
            </w:r>
            <w:r>
              <w:t xml:space="preserve"> </w:t>
            </w:r>
            <w:r>
              <w:t xml:space="preserve">resource for property</w:t>
            </w:r>
          </w:p>
        </w:tc>
        <w:tc>
          <w:tcPr/>
          <w:p>
            <w:pPr>
              <w:pStyle w:val="TAC"/>
            </w:pPr>
          </w:p>
        </w:tc>
      </w:tr>
    </w:tbl>
    <w:bookmarkEnd w:id="16"/>
    <w:bookmarkStart w:id="19" w:name="booleancontrol-function"/>
    <w:p>
      <w:pPr>
        <w:pStyle w:val="Heading3"/>
      </w:pPr>
      <w:r>
        <w:t>6.3.2</w:t>
        <w:tab/>
        <w:t xml:space="preserve">BooleanControl Function</w:t>
      </w:r>
    </w:p>
    <w:p>
      <w:pPr>
        <w:pStyle w:val="Normal"/>
      </w:pPr>
      <w:r>
        <w:t>BooleanControl function is used for switch</w:t>
      </w:r>
      <w:r>
        <w:noBreakHyphen/>
      </w:r>
      <w:r>
        <w:t>type of device functions like a light, door, window or power socket. It maps to the binarySwitch</w:t>
      </w:r>
      <w:r>
        <w:t xml:space="preserve"> </w:t>
      </w:r>
      <w:r>
        <w:rPr>
          <w:i/>
          <w:iCs/>
        </w:rPr>
        <w:t xml:space="preserve">&lt;flexContainer&gt;</w:t>
      </w:r>
      <w:r>
        <w:t xml:space="preserve"> </w:t>
      </w:r>
      <w:r>
        <w:t xml:space="preserve">that is a moduleClass.</w:t>
      </w:r>
    </w:p>
    <w:p>
      <w:pPr>
        <w:pStyle w:val="TH"/>
      </w:pPr>
      <w:r>
        <w:t xml:space="preserve">Table 6.3.2-1: Mapping of BooleanControl function to binarySwitch moduleClass</w:t>
      </w:r>
    </w:p>
    <w:tbl>
      <w:tblPr>
        <w:tblStyle w:val="Table"/>
        <w:tblW w:type="auto" w:w="0"/>
        <w:tblLook w:firstRow="1" w:lastRow="0" w:firstColumn="0" w:lastColumn="0" w:noHBand="0" w:noVBand="0" w:val="0020"/>
        <w:tblCaption w:val="Table 6.3.2-1: Mapping of BooleanControl function to binarySwitch moduleClass"/>
      </w:tblPr>
      <w:tblGrid>
        <w:gridCol w:w="2640"/>
        <w:gridCol w:w="2640"/>
        <w:gridCol w:w="2640"/>
      </w:tblGrid>
      <w:tr>
        <w:trPr>
          <w:tblHeader w:val="on"/>
        </w:trPr>
        <w:tc>
          <w:tcPr/>
          <w:p>
            <w:pPr>
              <w:pStyle w:val="TAH"/>
            </w:pPr>
            <w:r>
              <w:rPr>
                <w:b w:val="true"/>
              </w:rPr>
              <w:t xml:space="preserve">OSGi</w:t>
            </w:r>
          </w:p>
        </w:tc>
        <w:tc>
          <w:tcPr/>
          <w:p>
            <w:pPr>
              <w:pStyle w:val="TAH"/>
            </w:pPr>
            <w:r>
              <w:rPr>
                <w:b w:val="true"/>
              </w:rPr>
              <w:t xml:space="preserve">oneM2M</w:t>
            </w:r>
          </w:p>
        </w:tc>
        <w:tc>
          <w:tcPr/>
          <w:p>
            <w:pPr>
              <w:pStyle w:val="TAH"/>
            </w:pPr>
            <w:r>
              <w:rPr>
                <w:b w:val="true"/>
              </w:rPr>
              <w:t xml:space="preserve">Description</w:t>
            </w:r>
          </w:p>
        </w:tc>
      </w:tr>
      <w:tr>
        <w:tc>
          <w:tcPr/>
          <w:p>
            <w:pPr>
              <w:pStyle w:val="TAC"/>
            </w:pPr>
            <w:r>
              <w:t xml:space="preserve">inverse</w:t>
            </w:r>
          </w:p>
        </w:tc>
        <w:tc>
          <w:tcPr/>
          <w:p>
            <w:pPr>
              <w:pStyle w:val="TAC"/>
            </w:pPr>
            <w:r>
              <w:rPr>
                <w:i/>
                <w:iCs/>
              </w:rPr>
              <w:t xml:space="preserve">toggle</w:t>
            </w:r>
          </w:p>
        </w:tc>
        <w:tc>
          <w:tcPr/>
          <w:p>
            <w:pPr>
              <w:pStyle w:val="TAC"/>
            </w:pPr>
            <w:r>
              <w:t xml:space="preserve">Toggle the switch.</w:t>
            </w:r>
          </w:p>
        </w:tc>
      </w:tr>
      <w:tr>
        <w:tc>
          <w:tcPr/>
          <w:p>
            <w:pPr>
              <w:pStyle w:val="TAC"/>
            </w:pPr>
            <w:r>
              <w:t xml:space="preserve">setTrue</w:t>
            </w:r>
          </w:p>
        </w:tc>
        <w:tc>
          <w:tcPr/>
          <w:p>
            <w:pPr>
              <w:pStyle w:val="TAC"/>
            </w:pPr>
            <w:r>
              <w:t xml:space="preserve">Update the</w:t>
            </w:r>
            <w:r>
              <w:t xml:space="preserve"> </w:t>
            </w:r>
            <w:r>
              <w:rPr>
                <w:i/>
                <w:iCs/>
              </w:rPr>
              <w:t xml:space="preserve">powerState</w:t>
            </w:r>
            <w:r>
              <w:t xml:space="preserve"> </w:t>
            </w:r>
            <w:r>
              <w:t xml:space="preserve">to true</w:t>
            </w:r>
          </w:p>
        </w:tc>
        <w:tc>
          <w:tcPr/>
          <w:p>
            <w:pPr>
              <w:pStyle w:val="TAC"/>
            </w:pPr>
          </w:p>
        </w:tc>
      </w:tr>
      <w:tr>
        <w:tc>
          <w:tcPr/>
          <w:p>
            <w:pPr>
              <w:pStyle w:val="TAC"/>
            </w:pPr>
            <w:r>
              <w:t xml:space="preserve">setFalse</w:t>
            </w:r>
          </w:p>
        </w:tc>
        <w:tc>
          <w:tcPr/>
          <w:p>
            <w:pPr>
              <w:pStyle w:val="TAC"/>
            </w:pPr>
            <w:r>
              <w:t xml:space="preserve">Update the</w:t>
            </w:r>
            <w:r>
              <w:t xml:space="preserve"> </w:t>
            </w:r>
            <w:r>
              <w:rPr>
                <w:i/>
                <w:iCs/>
              </w:rPr>
              <w:t xml:space="preserve">powerState</w:t>
            </w:r>
            <w:r>
              <w:t xml:space="preserve"> </w:t>
            </w:r>
            <w:r>
              <w:t xml:space="preserve">to false</w:t>
            </w:r>
          </w:p>
        </w:tc>
        <w:tc>
          <w:tcPr/>
          <w:p>
            <w:pPr>
              <w:pStyle w:val="TAC"/>
            </w:pPr>
          </w:p>
        </w:tc>
      </w:tr>
      <w:tr>
        <w:tc>
          <w:tcPr/>
          <w:p>
            <w:pPr>
              <w:pStyle w:val="TAC"/>
            </w:pPr>
            <w:r>
              <w:t xml:space="preserve">data</w:t>
            </w:r>
          </w:p>
        </w:tc>
        <w:tc>
          <w:tcPr/>
          <w:p>
            <w:pPr>
              <w:pStyle w:val="TAC"/>
            </w:pPr>
            <w:r>
              <w:rPr>
                <w:i/>
                <w:iCs/>
              </w:rPr>
              <w:t xml:space="preserve">powerState</w:t>
            </w:r>
          </w:p>
        </w:tc>
        <w:tc>
          <w:tcPr/>
          <w:p>
            <w:pPr>
              <w:pStyle w:val="TAC"/>
            </w:pPr>
            <w:r>
              <w:t xml:space="preserve">The current state of the switch</w:t>
            </w:r>
          </w:p>
        </w:tc>
      </w:tr>
    </w:tbl>
    <w:bookmarkEnd w:id="17"/>
    <w:bookmarkStart w:id="20" w:name="booleansensor-function"/>
    <w:p>
      <w:pPr>
        <w:pStyle w:val="Heading3"/>
      </w:pPr>
      <w:r>
        <w:t>6.3.3</w:t>
        <w:tab/>
        <w:t xml:space="preserve">BooleanSensor Function</w:t>
      </w:r>
    </w:p>
    <w:p>
      <w:pPr>
        <w:pStyle w:val="Normal"/>
      </w:pPr>
      <w:r>
        <w:t xml:space="preserve">BooleanSensor function is used to report the data of a device function such as a light, door, window or power socket. It maps to several different</w:t>
      </w:r>
      <w:r>
        <w:t xml:space="preserve"> </w:t>
      </w:r>
      <w:r>
        <w:rPr>
          <w:i/>
          <w:iCs/>
        </w:rPr>
        <w:t xml:space="preserve">&lt;flexContainer&gt;</w:t>
      </w:r>
      <w:r>
        <w:t xml:space="preserve"> </w:t>
      </w:r>
      <w:r>
        <w:t xml:space="preserve">resources that are moduleClass. It is based on the device type which determines the specialization of</w:t>
      </w:r>
      <w:r>
        <w:t xml:space="preserve"> </w:t>
      </w:r>
      <w:r>
        <w:rPr>
          <w:i/>
          <w:iCs/>
        </w:rPr>
        <w:t xml:space="preserve">&lt;flexContainer&gt;</w:t>
      </w:r>
      <w:r>
        <w:t xml:space="preserve"> </w:t>
      </w:r>
      <w:r>
        <w:t xml:space="preserve">to be mapped to.</w:t>
      </w:r>
    </w:p>
    <w:p>
      <w:pPr>
        <w:pStyle w:val="TH"/>
      </w:pPr>
      <w:r>
        <w:t xml:space="preserve">Table 6.3.3-1: Mapping of BooleanSensor function to binarySwitch moduleClass</w:t>
      </w:r>
    </w:p>
    <w:tbl>
      <w:tblPr>
        <w:tblStyle w:val="Table"/>
        <w:tblW w:type="auto" w:w="0"/>
        <w:tblLook w:firstRow="1" w:lastRow="0" w:firstColumn="0" w:lastColumn="0" w:noHBand="0" w:noVBand="0" w:val="0020"/>
        <w:tblCaption w:val="Table 6.3.3-1: Mapping of BooleanSensor function to binarySwitch moduleClass"/>
      </w:tblPr>
      <w:tblGrid>
        <w:gridCol w:w="2640"/>
        <w:gridCol w:w="2640"/>
        <w:gridCol w:w="2640"/>
      </w:tblGrid>
      <w:tr>
        <w:trPr>
          <w:tblHeader w:val="on"/>
        </w:trPr>
        <w:tc>
          <w:tcPr/>
          <w:p>
            <w:pPr>
              <w:pStyle w:val="TAH"/>
            </w:pPr>
            <w:r>
              <w:rPr>
                <w:b w:val="true"/>
              </w:rPr>
              <w:t xml:space="preserve">OSGi</w:t>
            </w:r>
          </w:p>
        </w:tc>
        <w:tc>
          <w:tcPr/>
          <w:p>
            <w:pPr>
              <w:pStyle w:val="TAH"/>
            </w:pPr>
            <w:r>
              <w:rPr>
                <w:b w:val="true"/>
              </w:rPr>
              <w:t xml:space="preserve">oneM2M</w:t>
            </w:r>
          </w:p>
        </w:tc>
        <w:tc>
          <w:tcPr/>
          <w:p>
            <w:pPr>
              <w:pStyle w:val="TAH"/>
            </w:pPr>
            <w:r>
              <w:rPr>
                <w:b w:val="true"/>
              </w:rPr>
              <w:t xml:space="preserve">Description</w:t>
            </w:r>
          </w:p>
        </w:tc>
      </w:tr>
      <w:tr>
        <w:tc>
          <w:tcPr/>
          <w:p>
            <w:pPr>
              <w:pStyle w:val="TAC"/>
            </w:pPr>
            <w:r>
              <w:t xml:space="preserve">data</w:t>
            </w:r>
          </w:p>
        </w:tc>
        <w:tc>
          <w:tcPr/>
          <w:p>
            <w:pPr>
              <w:pStyle w:val="TAC"/>
            </w:pPr>
            <w:r>
              <w:rPr>
                <w:i/>
                <w:iCs/>
              </w:rPr>
              <w:t xml:space="preserve">powerState</w:t>
            </w:r>
          </w:p>
        </w:tc>
        <w:tc>
          <w:tcPr/>
          <w:p>
            <w:pPr>
              <w:pStyle w:val="TAC"/>
            </w:pPr>
          </w:p>
        </w:tc>
      </w:tr>
    </w:tbl>
    <w:p/>
    <w:p>
      <w:pPr>
        <w:pStyle w:val="TH"/>
      </w:pPr>
      <w:r>
        <w:t xml:space="preserve">Table 6.3.3-2: Mapping of BooleanSensor function to doorLock moduleClass</w:t>
      </w:r>
    </w:p>
    <w:tbl>
      <w:tblPr>
        <w:tblStyle w:val="Table"/>
        <w:tblW w:type="auto" w:w="0"/>
        <w:tblLook w:firstRow="1" w:lastRow="0" w:firstColumn="0" w:lastColumn="0" w:noHBand="0" w:noVBand="0" w:val="0020"/>
        <w:tblCaption w:val="Table 6.3.3-2: Mapping of BooleanSensor function to doorLock moduleClass"/>
      </w:tblPr>
      <w:tblGrid>
        <w:gridCol w:w="2640"/>
        <w:gridCol w:w="2640"/>
        <w:gridCol w:w="2640"/>
      </w:tblGrid>
      <w:tr>
        <w:trPr>
          <w:tblHeader w:val="on"/>
        </w:trPr>
        <w:tc>
          <w:tcPr/>
          <w:p>
            <w:pPr>
              <w:pStyle w:val="TAH"/>
            </w:pPr>
            <w:r>
              <w:rPr>
                <w:b w:val="true"/>
              </w:rPr>
              <w:t xml:space="preserve">OSGi</w:t>
            </w:r>
          </w:p>
        </w:tc>
        <w:tc>
          <w:tcPr/>
          <w:p>
            <w:pPr>
              <w:pStyle w:val="TAH"/>
            </w:pPr>
            <w:r>
              <w:rPr>
                <w:b w:val="true"/>
              </w:rPr>
              <w:t xml:space="preserve">oneM2M</w:t>
            </w:r>
          </w:p>
        </w:tc>
        <w:tc>
          <w:tcPr/>
          <w:p>
            <w:pPr>
              <w:pStyle w:val="TAH"/>
            </w:pPr>
            <w:r>
              <w:rPr>
                <w:b w:val="true"/>
              </w:rPr>
              <w:t xml:space="preserve">Description</w:t>
            </w:r>
          </w:p>
        </w:tc>
      </w:tr>
      <w:tr>
        <w:tc>
          <w:tcPr/>
          <w:p>
            <w:pPr>
              <w:pStyle w:val="TAC"/>
            </w:pPr>
            <w:r>
              <w:t xml:space="preserve">data</w:t>
            </w:r>
          </w:p>
        </w:tc>
        <w:tc>
          <w:tcPr/>
          <w:p>
            <w:pPr>
              <w:pStyle w:val="TAC"/>
            </w:pPr>
            <w:r>
              <w:rPr>
                <w:i/>
                <w:iCs/>
              </w:rPr>
              <w:t xml:space="preserve">doorLock</w:t>
            </w:r>
          </w:p>
        </w:tc>
        <w:tc>
          <w:tcPr/>
          <w:p>
            <w:pPr>
              <w:pStyle w:val="TAC"/>
            </w:pPr>
          </w:p>
        </w:tc>
      </w:tr>
    </w:tbl>
    <w:p/>
    <w:p>
      <w:pPr>
        <w:pStyle w:val="TH"/>
      </w:pPr>
      <w:r>
        <w:t xml:space="preserve">Table 6.3.3-3: Mapping of BooleanSensor function to boiler moduleClass</w:t>
      </w:r>
    </w:p>
    <w:tbl>
      <w:tblPr>
        <w:tblStyle w:val="Table"/>
        <w:tblW w:type="auto" w:w="0"/>
        <w:tblLook w:firstRow="1" w:lastRow="0" w:firstColumn="0" w:lastColumn="0" w:noHBand="0" w:noVBand="0" w:val="0020"/>
        <w:tblCaption w:val="Table 6.3.3-3: Mapping of BooleanSensor function to boiler moduleClass"/>
      </w:tblPr>
      <w:tblGrid>
        <w:gridCol w:w="2640"/>
        <w:gridCol w:w="2640"/>
        <w:gridCol w:w="2640"/>
      </w:tblGrid>
      <w:tr>
        <w:trPr>
          <w:tblHeader w:val="on"/>
        </w:trPr>
        <w:tc>
          <w:tcPr/>
          <w:p>
            <w:pPr>
              <w:pStyle w:val="TAH"/>
            </w:pPr>
            <w:r>
              <w:rPr>
                <w:b w:val="true"/>
              </w:rPr>
              <w:t xml:space="preserve">OSGi</w:t>
            </w:r>
          </w:p>
        </w:tc>
        <w:tc>
          <w:tcPr/>
          <w:p>
            <w:pPr>
              <w:pStyle w:val="TAH"/>
            </w:pPr>
            <w:r>
              <w:rPr>
                <w:b w:val="true"/>
              </w:rPr>
              <w:t xml:space="preserve">oneM2M</w:t>
            </w:r>
          </w:p>
        </w:tc>
        <w:tc>
          <w:tcPr/>
          <w:p>
            <w:pPr>
              <w:pStyle w:val="TAH"/>
            </w:pPr>
            <w:r>
              <w:rPr>
                <w:b w:val="true"/>
              </w:rPr>
              <w:t xml:space="preserve">Description</w:t>
            </w:r>
          </w:p>
        </w:tc>
      </w:tr>
      <w:tr>
        <w:tc>
          <w:tcPr/>
          <w:p>
            <w:pPr>
              <w:pStyle w:val="TAC"/>
            </w:pPr>
            <w:r>
              <w:t xml:space="preserve">data</w:t>
            </w:r>
          </w:p>
        </w:tc>
        <w:tc>
          <w:tcPr/>
          <w:p>
            <w:pPr>
              <w:pStyle w:val="TAC"/>
            </w:pPr>
            <w:r>
              <w:rPr>
                <w:i/>
                <w:iCs/>
              </w:rPr>
              <w:t xml:space="preserve">status</w:t>
            </w:r>
          </w:p>
        </w:tc>
        <w:tc>
          <w:tcPr/>
          <w:p>
            <w:pPr>
              <w:pStyle w:val="TAC"/>
            </w:pPr>
          </w:p>
        </w:tc>
      </w:tr>
    </w:tbl>
    <w:p/>
    <w:p>
      <w:pPr>
        <w:pStyle w:val="TH"/>
      </w:pPr>
      <w:r>
        <w:t xml:space="preserve">Table 6.3.3-4: Mapping of BooleanSensor function to waterSensor moduleClass</w:t>
      </w:r>
    </w:p>
    <w:tbl>
      <w:tblPr>
        <w:tblStyle w:val="Table"/>
        <w:tblW w:type="auto" w:w="0"/>
        <w:tblLook w:firstRow="1" w:lastRow="0" w:firstColumn="0" w:lastColumn="0" w:noHBand="0" w:noVBand="0" w:val="0020"/>
        <w:tblCaption w:val="Table 6.3.3-4: Mapping of BooleanSensor function to waterSensor moduleClass"/>
      </w:tblPr>
      <w:tblGrid>
        <w:gridCol w:w="2640"/>
        <w:gridCol w:w="2640"/>
        <w:gridCol w:w="2640"/>
      </w:tblGrid>
      <w:tr>
        <w:trPr>
          <w:tblHeader w:val="on"/>
        </w:trPr>
        <w:tc>
          <w:tcPr/>
          <w:p>
            <w:pPr>
              <w:pStyle w:val="TAH"/>
            </w:pPr>
            <w:r>
              <w:rPr>
                <w:b w:val="true"/>
              </w:rPr>
              <w:t xml:space="preserve">OSGi</w:t>
            </w:r>
          </w:p>
        </w:tc>
        <w:tc>
          <w:tcPr/>
          <w:p>
            <w:pPr>
              <w:pStyle w:val="TAH"/>
            </w:pPr>
            <w:r>
              <w:rPr>
                <w:b w:val="true"/>
              </w:rPr>
              <w:t xml:space="preserve">oneM2M</w:t>
            </w:r>
          </w:p>
        </w:tc>
        <w:tc>
          <w:tcPr/>
          <w:p>
            <w:pPr>
              <w:pStyle w:val="TAH"/>
            </w:pPr>
            <w:r>
              <w:rPr>
                <w:b w:val="true"/>
              </w:rPr>
              <w:t xml:space="preserve">Description</w:t>
            </w:r>
          </w:p>
        </w:tc>
      </w:tr>
      <w:tr>
        <w:tc>
          <w:tcPr/>
          <w:p>
            <w:pPr>
              <w:pStyle w:val="TAC"/>
            </w:pPr>
            <w:r>
              <w:t xml:space="preserve">data</w:t>
            </w:r>
          </w:p>
        </w:tc>
        <w:tc>
          <w:tcPr/>
          <w:p>
            <w:pPr>
              <w:pStyle w:val="TAC"/>
            </w:pPr>
            <w:r>
              <w:rPr>
                <w:i/>
                <w:iCs/>
              </w:rPr>
              <w:t xml:space="preserve">alarm</w:t>
            </w:r>
          </w:p>
        </w:tc>
        <w:tc>
          <w:tcPr/>
          <w:p>
            <w:pPr>
              <w:pStyle w:val="TAC"/>
            </w:pPr>
          </w:p>
        </w:tc>
      </w:tr>
    </w:tbl>
    <w:bookmarkEnd w:id="18"/>
    <w:bookmarkStart w:id="21" w:name="multilevelcontrol-function"/>
    <w:p>
      <w:pPr>
        <w:pStyle w:val="Heading3"/>
      </w:pPr>
      <w:r>
        <w:t>6.3.4</w:t>
        <w:tab/>
        <w:t xml:space="preserve">MultiLevelControl Function</w:t>
      </w:r>
    </w:p>
    <w:p>
      <w:pPr>
        <w:pStyle w:val="Normal"/>
      </w:pPr>
      <w:r>
        <w:t xml:space="preserve">The MultiLevelControl Function maps to different moduleClass depending on the device type.</w:t>
      </w:r>
    </w:p>
    <w:p>
      <w:pPr>
        <w:pStyle w:val="TH"/>
      </w:pPr>
      <w:r>
        <w:t xml:space="preserve">Table 6.3.4-1: Mapping of MultiLevelControl function to brightness moduleClass</w:t>
      </w:r>
    </w:p>
    <w:tbl>
      <w:tblPr>
        <w:tblStyle w:val="Table"/>
        <w:tblW w:type="auto" w:w="0"/>
        <w:tblLook w:firstRow="1" w:lastRow="0" w:firstColumn="0" w:lastColumn="0" w:noHBand="0" w:noVBand="0" w:val="0020"/>
        <w:tblCaption w:val="Table 6.3.4-1: Mapping of MultiLevelControl function to brightness moduleClass"/>
      </w:tblPr>
      <w:tblGrid>
        <w:gridCol w:w="2640"/>
        <w:gridCol w:w="2640"/>
        <w:gridCol w:w="2640"/>
      </w:tblGrid>
      <w:tr>
        <w:trPr>
          <w:tblHeader w:val="on"/>
        </w:trPr>
        <w:tc>
          <w:tcPr/>
          <w:p>
            <w:pPr>
              <w:pStyle w:val="TAH"/>
            </w:pPr>
            <w:r>
              <w:rPr>
                <w:b w:val="true"/>
              </w:rPr>
              <w:t xml:space="preserve">OSGi</w:t>
            </w:r>
          </w:p>
        </w:tc>
        <w:tc>
          <w:tcPr/>
          <w:p>
            <w:pPr>
              <w:pStyle w:val="TAH"/>
            </w:pPr>
            <w:r>
              <w:rPr>
                <w:b w:val="true"/>
              </w:rPr>
              <w:t xml:space="preserve">oneM2M</w:t>
            </w:r>
          </w:p>
        </w:tc>
        <w:tc>
          <w:tcPr/>
          <w:p>
            <w:pPr>
              <w:pStyle w:val="TAH"/>
            </w:pPr>
            <w:r>
              <w:rPr>
                <w:b w:val="true"/>
              </w:rPr>
              <w:t xml:space="preserve">Description</w:t>
            </w:r>
          </w:p>
        </w:tc>
      </w:tr>
      <w:tr>
        <w:tc>
          <w:tcPr/>
          <w:p>
            <w:pPr>
              <w:pStyle w:val="TAC"/>
            </w:pPr>
            <w:r>
              <w:t xml:space="preserve">data</w:t>
            </w:r>
          </w:p>
        </w:tc>
        <w:tc>
          <w:tcPr/>
          <w:p>
            <w:pPr>
              <w:pStyle w:val="TAC"/>
            </w:pPr>
            <w:r>
              <w:rPr>
                <w:i/>
                <w:iCs/>
              </w:rPr>
              <w:t xml:space="preserve">brightness</w:t>
            </w:r>
          </w:p>
        </w:tc>
        <w:tc>
          <w:tcPr/>
          <w:p>
            <w:pPr>
              <w:pStyle w:val="TAC"/>
            </w:pPr>
          </w:p>
        </w:tc>
      </w:tr>
    </w:tbl>
    <w:p/>
    <w:p>
      <w:pPr>
        <w:pStyle w:val="TH"/>
      </w:pPr>
      <w:r>
        <w:t xml:space="preserve">Table 6.3.4-2: Mapping of MultiLevelControl function to foaming moduleClass</w:t>
      </w:r>
    </w:p>
    <w:tbl>
      <w:tblPr>
        <w:tblStyle w:val="Table"/>
        <w:tblW w:type="auto" w:w="0"/>
        <w:tblLook w:firstRow="1" w:lastRow="0" w:firstColumn="0" w:lastColumn="0" w:noHBand="0" w:noVBand="0" w:val="0020"/>
        <w:tblCaption w:val="Table 6.3.4-2: Mapping of MultiLevelControl function to foaming moduleClass"/>
      </w:tblPr>
      <w:tblGrid>
        <w:gridCol w:w="2640"/>
        <w:gridCol w:w="2640"/>
        <w:gridCol w:w="2640"/>
      </w:tblGrid>
      <w:tr>
        <w:trPr>
          <w:tblHeader w:val="on"/>
        </w:trPr>
        <w:tc>
          <w:tcPr/>
          <w:p>
            <w:pPr>
              <w:pStyle w:val="TAH"/>
            </w:pPr>
            <w:r>
              <w:rPr>
                <w:b w:val="true"/>
              </w:rPr>
              <w:t xml:space="preserve">OSGi</w:t>
            </w:r>
          </w:p>
        </w:tc>
        <w:tc>
          <w:tcPr/>
          <w:p>
            <w:pPr>
              <w:pStyle w:val="TAH"/>
            </w:pPr>
            <w:r>
              <w:rPr>
                <w:b w:val="true"/>
              </w:rPr>
              <w:t xml:space="preserve">oneM2M</w:t>
            </w:r>
          </w:p>
        </w:tc>
        <w:tc>
          <w:tcPr/>
          <w:p>
            <w:pPr>
              <w:pStyle w:val="TAH"/>
            </w:pPr>
            <w:r>
              <w:rPr>
                <w:b w:val="true"/>
              </w:rPr>
              <w:t xml:space="preserve">Description</w:t>
            </w:r>
          </w:p>
        </w:tc>
      </w:tr>
      <w:tr>
        <w:tc>
          <w:tcPr/>
          <w:p>
            <w:pPr>
              <w:pStyle w:val="TAC"/>
            </w:pPr>
            <w:r>
              <w:t xml:space="preserve">data</w:t>
            </w:r>
          </w:p>
        </w:tc>
        <w:tc>
          <w:tcPr/>
          <w:p>
            <w:pPr>
              <w:pStyle w:val="TAC"/>
            </w:pPr>
            <w:r>
              <w:rPr>
                <w:i/>
                <w:iCs/>
              </w:rPr>
              <w:t xml:space="preserve">foamingStrength</w:t>
            </w:r>
          </w:p>
        </w:tc>
        <w:tc>
          <w:tcPr/>
          <w:p>
            <w:pPr>
              <w:pStyle w:val="TAC"/>
            </w:pPr>
          </w:p>
        </w:tc>
      </w:tr>
    </w:tbl>
    <w:bookmarkEnd w:id="19"/>
    <w:bookmarkStart w:id="22" w:name="multilevelsensor-function"/>
    <w:p>
      <w:pPr>
        <w:pStyle w:val="Heading3"/>
      </w:pPr>
      <w:r>
        <w:t>6.3.5</w:t>
        <w:tab/>
        <w:t xml:space="preserve">MultiLevelSensor Function</w:t>
      </w:r>
    </w:p>
    <w:p>
      <w:pPr>
        <w:pStyle w:val="Normal"/>
      </w:pPr>
      <w:r>
        <w:t xml:space="preserve">The MultiLevelSensor Function maps to different moduleClass depending on the device type.</w:t>
      </w:r>
    </w:p>
    <w:p>
      <w:pPr>
        <w:pStyle w:val="TH"/>
      </w:pPr>
      <w:r>
        <w:t xml:space="preserve">Table 6.3.5-1: Mapping of MultiLevelControl function to height moduleClass</w:t>
      </w:r>
    </w:p>
    <w:tbl>
      <w:tblPr>
        <w:tblStyle w:val="Table"/>
        <w:tblW w:type="auto" w:w="0"/>
        <w:tblLook w:firstRow="1" w:lastRow="0" w:firstColumn="0" w:lastColumn="0" w:noHBand="0" w:noVBand="0" w:val="0020"/>
        <w:tblCaption w:val="Table 6.3.5-1: Mapping of MultiLevelControl function to height moduleClass"/>
      </w:tblPr>
      <w:tblGrid>
        <w:gridCol w:w="2640"/>
        <w:gridCol w:w="2640"/>
        <w:gridCol w:w="2640"/>
      </w:tblGrid>
      <w:tr>
        <w:trPr>
          <w:tblHeader w:val="on"/>
        </w:trPr>
        <w:tc>
          <w:tcPr/>
          <w:p>
            <w:pPr>
              <w:pStyle w:val="TAH"/>
            </w:pPr>
            <w:r>
              <w:rPr>
                <w:b w:val="true"/>
              </w:rPr>
              <w:t xml:space="preserve">OSGi</w:t>
            </w:r>
          </w:p>
        </w:tc>
        <w:tc>
          <w:tcPr/>
          <w:p>
            <w:pPr>
              <w:pStyle w:val="TAH"/>
            </w:pPr>
            <w:r>
              <w:rPr>
                <w:b w:val="true"/>
              </w:rPr>
              <w:t xml:space="preserve">oneM2M</w:t>
            </w:r>
          </w:p>
        </w:tc>
        <w:tc>
          <w:tcPr/>
          <w:p>
            <w:pPr>
              <w:pStyle w:val="TAH"/>
            </w:pPr>
            <w:r>
              <w:rPr>
                <w:b w:val="true"/>
              </w:rPr>
              <w:t xml:space="preserve">Description</w:t>
            </w:r>
          </w:p>
        </w:tc>
      </w:tr>
      <w:tr>
        <w:tc>
          <w:tcPr/>
          <w:p>
            <w:pPr>
              <w:pStyle w:val="TAC"/>
            </w:pPr>
            <w:r>
              <w:t xml:space="preserve">data</w:t>
            </w:r>
          </w:p>
        </w:tc>
        <w:tc>
          <w:tcPr/>
          <w:p>
            <w:pPr>
              <w:pStyle w:val="TAC"/>
            </w:pPr>
            <w:r>
              <w:rPr>
                <w:i/>
                <w:iCs/>
              </w:rPr>
              <w:t xml:space="preserve">height</w:t>
            </w:r>
          </w:p>
        </w:tc>
        <w:tc>
          <w:tcPr/>
          <w:p>
            <w:pPr>
              <w:pStyle w:val="TAC"/>
            </w:pPr>
          </w:p>
        </w:tc>
      </w:tr>
    </w:tbl>
    <w:p/>
    <w:p>
      <w:pPr>
        <w:pStyle w:val="TH"/>
      </w:pPr>
      <w:r>
        <w:t xml:space="preserve">Table 6.3.5-2: Mapping of MultiLevelControl function to weight moduleClass</w:t>
      </w:r>
    </w:p>
    <w:tbl>
      <w:tblPr>
        <w:tblStyle w:val="Table"/>
        <w:tblW w:type="auto" w:w="0"/>
        <w:tblLook w:firstRow="1" w:lastRow="0" w:firstColumn="0" w:lastColumn="0" w:noHBand="0" w:noVBand="0" w:val="0020"/>
        <w:tblCaption w:val="Table 6.3.5-2: Mapping of MultiLevelControl function to weight moduleClass"/>
      </w:tblPr>
      <w:tblGrid>
        <w:gridCol w:w="2640"/>
        <w:gridCol w:w="2640"/>
        <w:gridCol w:w="2640"/>
      </w:tblGrid>
      <w:tr>
        <w:trPr>
          <w:tblHeader w:val="on"/>
        </w:trPr>
        <w:tc>
          <w:tcPr/>
          <w:p>
            <w:pPr>
              <w:pStyle w:val="TAH"/>
            </w:pPr>
            <w:r>
              <w:rPr>
                <w:b w:val="true"/>
              </w:rPr>
              <w:t xml:space="preserve">OSGi</w:t>
            </w:r>
          </w:p>
        </w:tc>
        <w:tc>
          <w:tcPr/>
          <w:p>
            <w:pPr>
              <w:pStyle w:val="TAH"/>
            </w:pPr>
            <w:r>
              <w:rPr>
                <w:b w:val="true"/>
              </w:rPr>
              <w:t xml:space="preserve">oneM2M</w:t>
            </w:r>
          </w:p>
        </w:tc>
        <w:tc>
          <w:tcPr/>
          <w:p>
            <w:pPr>
              <w:pStyle w:val="TAH"/>
            </w:pPr>
            <w:r>
              <w:rPr>
                <w:b w:val="true"/>
              </w:rPr>
              <w:t xml:space="preserve">Description</w:t>
            </w:r>
          </w:p>
        </w:tc>
      </w:tr>
      <w:tr>
        <w:tc>
          <w:tcPr/>
          <w:p>
            <w:pPr>
              <w:pStyle w:val="TAC"/>
            </w:pPr>
            <w:r>
              <w:t xml:space="preserve">data</w:t>
            </w:r>
          </w:p>
        </w:tc>
        <w:tc>
          <w:tcPr/>
          <w:p>
            <w:pPr>
              <w:pStyle w:val="TAC"/>
            </w:pPr>
            <w:r>
              <w:rPr>
                <w:i/>
                <w:iCs/>
              </w:rPr>
              <w:t xml:space="preserve">weight</w:t>
            </w:r>
          </w:p>
        </w:tc>
        <w:tc>
          <w:tcPr/>
          <w:p>
            <w:pPr>
              <w:pStyle w:val="TAC"/>
            </w:pPr>
          </w:p>
        </w:tc>
      </w:tr>
    </w:tbl>
    <w:p/>
    <w:p>
      <w:pPr>
        <w:pStyle w:val="TH"/>
      </w:pPr>
      <w:r>
        <w:t xml:space="preserve">Table 6.3.5-3: Mapping of MultiLevelControl function to liquidRemaining moduleClass</w:t>
      </w:r>
    </w:p>
    <w:tbl>
      <w:tblPr>
        <w:tblStyle w:val="Table"/>
        <w:tblW w:type="auto" w:w="0"/>
        <w:tblLook w:firstRow="1" w:lastRow="0" w:firstColumn="0" w:lastColumn="0" w:noHBand="0" w:noVBand="0" w:val="0020"/>
        <w:tblCaption w:val="Table 6.3.5-3: Mapping of MultiLevelControl function to liquidRemaining moduleClass"/>
      </w:tblPr>
      <w:tblGrid>
        <w:gridCol w:w="2640"/>
        <w:gridCol w:w="2640"/>
        <w:gridCol w:w="2640"/>
      </w:tblGrid>
      <w:tr>
        <w:trPr>
          <w:tblHeader w:val="on"/>
        </w:trPr>
        <w:tc>
          <w:tcPr/>
          <w:p>
            <w:pPr>
              <w:pStyle w:val="TAH"/>
            </w:pPr>
            <w:r>
              <w:rPr>
                <w:b w:val="true"/>
              </w:rPr>
              <w:t xml:space="preserve">OSGi</w:t>
            </w:r>
          </w:p>
        </w:tc>
        <w:tc>
          <w:tcPr/>
          <w:p>
            <w:pPr>
              <w:pStyle w:val="TAH"/>
            </w:pPr>
            <w:r>
              <w:rPr>
                <w:b w:val="true"/>
              </w:rPr>
              <w:t xml:space="preserve">oneM2M</w:t>
            </w:r>
          </w:p>
        </w:tc>
        <w:tc>
          <w:tcPr/>
          <w:p>
            <w:pPr>
              <w:pStyle w:val="TAH"/>
            </w:pPr>
            <w:r>
              <w:rPr>
                <w:b w:val="true"/>
              </w:rPr>
              <w:t xml:space="preserve">Description</w:t>
            </w:r>
          </w:p>
        </w:tc>
      </w:tr>
      <w:tr>
        <w:tc>
          <w:tcPr/>
          <w:p>
            <w:pPr>
              <w:pStyle w:val="TAC"/>
            </w:pPr>
            <w:r>
              <w:t xml:space="preserve">data</w:t>
            </w:r>
          </w:p>
        </w:tc>
        <w:tc>
          <w:tcPr/>
          <w:p>
            <w:pPr>
              <w:pStyle w:val="TAC"/>
            </w:pPr>
            <w:r>
              <w:rPr>
                <w:i/>
                <w:iCs/>
              </w:rPr>
              <w:t xml:space="preserve">liquidRemaining</w:t>
            </w:r>
          </w:p>
        </w:tc>
        <w:tc>
          <w:tcPr/>
          <w:p>
            <w:pPr>
              <w:pStyle w:val="TAC"/>
            </w:pPr>
          </w:p>
        </w:tc>
      </w:tr>
    </w:tbl>
    <w:p/>
    <w:p>
      <w:pPr>
        <w:pStyle w:val="TH"/>
      </w:pPr>
      <w:r>
        <w:t xml:space="preserve">Table 6.3.5-4: Mapping of MultiLevelControl function to brightness moduleClass</w:t>
      </w:r>
    </w:p>
    <w:tbl>
      <w:tblPr>
        <w:tblStyle w:val="Table"/>
        <w:tblW w:type="auto" w:w="0"/>
        <w:tblLook w:firstRow="1" w:lastRow="0" w:firstColumn="0" w:lastColumn="0" w:noHBand="0" w:noVBand="0" w:val="0020"/>
        <w:tblCaption w:val="Table 6.3.5-4: Mapping of MultiLevelControl function to brightness moduleClass"/>
      </w:tblPr>
      <w:tblGrid>
        <w:gridCol w:w="2640"/>
        <w:gridCol w:w="2640"/>
        <w:gridCol w:w="2640"/>
      </w:tblGrid>
      <w:tr>
        <w:trPr>
          <w:tblHeader w:val="on"/>
        </w:trPr>
        <w:tc>
          <w:tcPr/>
          <w:p>
            <w:pPr>
              <w:pStyle w:val="TAH"/>
            </w:pPr>
            <w:r>
              <w:rPr>
                <w:b w:val="true"/>
              </w:rPr>
              <w:t xml:space="preserve">OSGi</w:t>
            </w:r>
          </w:p>
        </w:tc>
        <w:tc>
          <w:tcPr/>
          <w:p>
            <w:pPr>
              <w:pStyle w:val="TAH"/>
            </w:pPr>
            <w:r>
              <w:rPr>
                <w:b w:val="true"/>
              </w:rPr>
              <w:t xml:space="preserve">oneM2M</w:t>
            </w:r>
          </w:p>
        </w:tc>
        <w:tc>
          <w:tcPr/>
          <w:p>
            <w:pPr>
              <w:pStyle w:val="TAH"/>
            </w:pPr>
            <w:r>
              <w:rPr>
                <w:b w:val="true"/>
              </w:rPr>
              <w:t xml:space="preserve">Description</w:t>
            </w:r>
          </w:p>
        </w:tc>
      </w:tr>
      <w:tr>
        <w:tc>
          <w:tcPr/>
          <w:p>
            <w:pPr>
              <w:pStyle w:val="TAC"/>
            </w:pPr>
            <w:r>
              <w:t xml:space="preserve">data</w:t>
            </w:r>
          </w:p>
        </w:tc>
        <w:tc>
          <w:tcPr/>
          <w:p>
            <w:pPr>
              <w:pStyle w:val="TAC"/>
            </w:pPr>
            <w:r>
              <w:rPr>
                <w:i/>
                <w:iCs/>
              </w:rPr>
              <w:t xml:space="preserve">brightness</w:t>
            </w:r>
          </w:p>
        </w:tc>
        <w:tc>
          <w:tcPr/>
          <w:p>
            <w:pPr>
              <w:pStyle w:val="TAC"/>
            </w:pPr>
          </w:p>
        </w:tc>
      </w:tr>
    </w:tbl>
    <w:p/>
    <w:p>
      <w:pPr>
        <w:pStyle w:val="TH"/>
      </w:pPr>
      <w:r>
        <w:t xml:space="preserve">Table 6.3.5-5: Mapping of MultiLevelControl function to foaming moduleClass</w:t>
      </w:r>
    </w:p>
    <w:tbl>
      <w:tblPr>
        <w:tblStyle w:val="Table"/>
        <w:tblW w:type="auto" w:w="0"/>
        <w:tblLook w:firstRow="1" w:lastRow="0" w:firstColumn="0" w:lastColumn="0" w:noHBand="0" w:noVBand="0" w:val="0020"/>
        <w:tblCaption w:val="Table 6.3.5-5: Mapping of MultiLevelControl function to foaming moduleClass"/>
      </w:tblPr>
      <w:tblGrid>
        <w:gridCol w:w="2640"/>
        <w:gridCol w:w="2640"/>
        <w:gridCol w:w="2640"/>
      </w:tblGrid>
      <w:tr>
        <w:trPr>
          <w:tblHeader w:val="on"/>
        </w:trPr>
        <w:tc>
          <w:tcPr/>
          <w:p>
            <w:pPr>
              <w:pStyle w:val="TAH"/>
            </w:pPr>
            <w:r>
              <w:rPr>
                <w:b w:val="true"/>
              </w:rPr>
              <w:t xml:space="preserve">OSGi</w:t>
            </w:r>
          </w:p>
        </w:tc>
        <w:tc>
          <w:tcPr/>
          <w:p>
            <w:pPr>
              <w:pStyle w:val="TAH"/>
            </w:pPr>
            <w:r>
              <w:rPr>
                <w:b w:val="true"/>
              </w:rPr>
              <w:t xml:space="preserve">oneM2M</w:t>
            </w:r>
          </w:p>
        </w:tc>
        <w:tc>
          <w:tcPr/>
          <w:p>
            <w:pPr>
              <w:pStyle w:val="TAH"/>
            </w:pPr>
            <w:r>
              <w:rPr>
                <w:b w:val="true"/>
              </w:rPr>
              <w:t xml:space="preserve">Description</w:t>
            </w:r>
          </w:p>
        </w:tc>
      </w:tr>
      <w:tr>
        <w:tc>
          <w:tcPr/>
          <w:p>
            <w:pPr>
              <w:pStyle w:val="TAC"/>
            </w:pPr>
            <w:r>
              <w:t xml:space="preserve">data</w:t>
            </w:r>
          </w:p>
        </w:tc>
        <w:tc>
          <w:tcPr/>
          <w:p>
            <w:pPr>
              <w:pStyle w:val="TAC"/>
            </w:pPr>
            <w:r>
              <w:rPr>
                <w:i/>
                <w:iCs/>
              </w:rPr>
              <w:t xml:space="preserve">foamingStrength</w:t>
            </w:r>
          </w:p>
        </w:tc>
        <w:tc>
          <w:tcPr/>
          <w:p>
            <w:pPr>
              <w:pStyle w:val="TAC"/>
            </w:pPr>
          </w:p>
        </w:tc>
      </w:tr>
    </w:tbl>
    <w:bookmarkEnd w:id="20"/>
    <w:bookmarkStart w:id="23" w:name="meter-function"/>
    <w:p>
      <w:pPr>
        <w:pStyle w:val="Heading3"/>
      </w:pPr>
      <w:r>
        <w:t>6.3.6</w:t>
        <w:tab/>
        <w:t xml:space="preserve">Meter Function</w:t>
      </w:r>
    </w:p>
    <w:p>
      <w:pPr>
        <w:pStyle w:val="Normal"/>
      </w:pPr>
      <w:r>
        <w:t xml:space="preserve">The Meter Function maps to different moduleClass depending on the device type.</w:t>
      </w:r>
    </w:p>
    <w:p>
      <w:pPr>
        <w:pStyle w:val="TH"/>
      </w:pPr>
      <w:r>
        <w:t xml:space="preserve">Table 6.3.6-1: Mapping of Meter function to energyConsuption moduleClass</w:t>
      </w:r>
    </w:p>
    <w:tbl>
      <w:tblPr>
        <w:tblStyle w:val="Table"/>
        <w:tblW w:type="auto" w:w="0"/>
        <w:tblLook w:firstRow="1" w:lastRow="0" w:firstColumn="0" w:lastColumn="0" w:noHBand="0" w:noVBand="0" w:val="0020"/>
        <w:tblCaption w:val="Table 6.3.6-1: Mapping of Meter function to energyConsuption moduleClass"/>
      </w:tblPr>
      <w:tblGrid>
        <w:gridCol w:w="2640"/>
        <w:gridCol w:w="2640"/>
        <w:gridCol w:w="2640"/>
      </w:tblGrid>
      <w:tr>
        <w:trPr>
          <w:tblHeader w:val="on"/>
        </w:trPr>
        <w:tc>
          <w:tcPr/>
          <w:p>
            <w:pPr>
              <w:pStyle w:val="TAH"/>
            </w:pPr>
            <w:r>
              <w:rPr>
                <w:b w:val="true"/>
              </w:rPr>
              <w:t xml:space="preserve">OSGi</w:t>
            </w:r>
          </w:p>
        </w:tc>
        <w:tc>
          <w:tcPr/>
          <w:p>
            <w:pPr>
              <w:pStyle w:val="TAH"/>
            </w:pPr>
            <w:r>
              <w:rPr>
                <w:b w:val="true"/>
              </w:rPr>
              <w:t xml:space="preserve">oneM2M</w:t>
            </w:r>
          </w:p>
        </w:tc>
        <w:tc>
          <w:tcPr/>
          <w:p>
            <w:pPr>
              <w:pStyle w:val="TAH"/>
            </w:pPr>
            <w:r>
              <w:rPr>
                <w:b w:val="true"/>
              </w:rPr>
              <w:t xml:space="preserve">Description</w:t>
            </w:r>
          </w:p>
        </w:tc>
      </w:tr>
      <w:tr>
        <w:tc>
          <w:tcPr/>
          <w:p>
            <w:pPr>
              <w:pStyle w:val="TAC"/>
            </w:pPr>
            <w:r>
              <w:t xml:space="preserve">current</w:t>
            </w:r>
          </w:p>
        </w:tc>
        <w:tc>
          <w:tcPr/>
          <w:p>
            <w:pPr>
              <w:pStyle w:val="TAC"/>
            </w:pPr>
            <w:r>
              <w:rPr>
                <w:i/>
                <w:iCs/>
              </w:rPr>
              <w:t xml:space="preserve">roundingEnergyConsumption</w:t>
            </w:r>
          </w:p>
        </w:tc>
        <w:tc>
          <w:tcPr/>
          <w:p>
            <w:pPr>
              <w:pStyle w:val="TAC"/>
            </w:pPr>
          </w:p>
        </w:tc>
      </w:tr>
      <w:tr>
        <w:tc>
          <w:tcPr/>
          <w:p>
            <w:pPr>
              <w:pStyle w:val="TAC"/>
            </w:pPr>
            <w:r>
              <w:t xml:space="preserve">total</w:t>
            </w:r>
          </w:p>
        </w:tc>
        <w:tc>
          <w:tcPr/>
          <w:p>
            <w:pPr>
              <w:pStyle w:val="TAC"/>
            </w:pPr>
            <w:r>
              <w:rPr>
                <w:i/>
                <w:iCs/>
              </w:rPr>
              <w:t xml:space="preserve">absoluteEnergyConsumption</w:t>
            </w:r>
          </w:p>
        </w:tc>
        <w:tc>
          <w:tcPr/>
          <w:p>
            <w:pPr>
              <w:pStyle w:val="TAC"/>
            </w:pPr>
          </w:p>
        </w:tc>
      </w:tr>
    </w:tbl>
    <w:bookmarkEnd w:id="21"/>
    <w:bookmarkStart w:id="24" w:name="alarm-function"/>
    <w:p>
      <w:pPr>
        <w:pStyle w:val="Heading3"/>
      </w:pPr>
      <w:r>
        <w:t>6.3.7</w:t>
        <w:tab/>
        <w:t xml:space="preserve">Alarm Function</w:t>
      </w:r>
    </w:p>
    <w:p>
      <w:pPr>
        <w:pStyle w:val="Normal"/>
      </w:pPr>
      <w:r>
        <w:t xml:space="preserve">The Alarm Function maps to different moduleClass depending on the device type.</w:t>
      </w:r>
    </w:p>
    <w:p>
      <w:pPr>
        <w:pStyle w:val="TH"/>
      </w:pPr>
      <w:r>
        <w:t xml:space="preserve">Table 6.3.7-1: Mapping of Alarm function to motionSensor moduleClass</w:t>
      </w:r>
    </w:p>
    <w:tbl>
      <w:tblPr>
        <w:tblStyle w:val="Table"/>
        <w:tblW w:type="auto" w:w="0"/>
        <w:tblLook w:firstRow="1" w:lastRow="0" w:firstColumn="0" w:lastColumn="0" w:noHBand="0" w:noVBand="0" w:val="0020"/>
        <w:tblCaption w:val="Table 6.3.7-1: Mapping of Alarm function to motionSensor moduleClass"/>
      </w:tblPr>
      <w:tblGrid>
        <w:gridCol w:w="2640"/>
        <w:gridCol w:w="2640"/>
        <w:gridCol w:w="2640"/>
      </w:tblGrid>
      <w:tr>
        <w:trPr>
          <w:tblHeader w:val="on"/>
        </w:trPr>
        <w:tc>
          <w:tcPr/>
          <w:p>
            <w:pPr>
              <w:pStyle w:val="TAH"/>
            </w:pPr>
            <w:r>
              <w:rPr>
                <w:b w:val="true"/>
              </w:rPr>
              <w:t xml:space="preserve">OSGi</w:t>
            </w:r>
          </w:p>
        </w:tc>
        <w:tc>
          <w:tcPr/>
          <w:p>
            <w:pPr>
              <w:pStyle w:val="TAH"/>
            </w:pPr>
            <w:r>
              <w:rPr>
                <w:b w:val="true"/>
              </w:rPr>
              <w:t xml:space="preserve">oneM2M</w:t>
            </w:r>
          </w:p>
        </w:tc>
        <w:tc>
          <w:tcPr/>
          <w:p>
            <w:pPr>
              <w:pStyle w:val="TAH"/>
            </w:pPr>
            <w:r>
              <w:rPr>
                <w:b w:val="true"/>
              </w:rPr>
              <w:t xml:space="preserve">Description</w:t>
            </w:r>
          </w:p>
        </w:tc>
      </w:tr>
      <w:tr>
        <w:tc>
          <w:tcPr/>
          <w:p>
            <w:pPr>
              <w:pStyle w:val="TAC"/>
            </w:pPr>
            <w:r>
              <w:t xml:space="preserve">alarm</w:t>
            </w:r>
          </w:p>
        </w:tc>
        <w:tc>
          <w:tcPr/>
          <w:p>
            <w:pPr>
              <w:pStyle w:val="TAC"/>
            </w:pPr>
            <w:r>
              <w:rPr>
                <w:i/>
                <w:iCs/>
              </w:rPr>
              <w:t xml:space="preserve">alarm</w:t>
            </w:r>
          </w:p>
        </w:tc>
        <w:tc>
          <w:tcPr/>
          <w:p>
            <w:pPr>
              <w:pStyle w:val="TAC"/>
            </w:pPr>
          </w:p>
        </w:tc>
      </w:tr>
    </w:tbl>
    <w:p/>
    <w:p>
      <w:pPr>
        <w:pStyle w:val="TH"/>
      </w:pPr>
      <w:r>
        <w:t xml:space="preserve">Table 6.3.7-2: Mapping of Alarm function to smokeSensor moduleClass</w:t>
      </w:r>
    </w:p>
    <w:tbl>
      <w:tblPr>
        <w:tblStyle w:val="Table"/>
        <w:tblW w:type="auto" w:w="0"/>
        <w:tblLook w:firstRow="1" w:lastRow="0" w:firstColumn="0" w:lastColumn="0" w:noHBand="0" w:noVBand="0" w:val="0020"/>
        <w:tblCaption w:val="Table 6.3.7-2: Mapping of Alarm function to smokeSensor moduleClass"/>
      </w:tblPr>
      <w:tblGrid>
        <w:gridCol w:w="2640"/>
        <w:gridCol w:w="2640"/>
        <w:gridCol w:w="2640"/>
      </w:tblGrid>
      <w:tr>
        <w:trPr>
          <w:tblHeader w:val="on"/>
        </w:trPr>
        <w:tc>
          <w:tcPr/>
          <w:p>
            <w:pPr>
              <w:pStyle w:val="TAH"/>
            </w:pPr>
            <w:r>
              <w:rPr>
                <w:b w:val="true"/>
              </w:rPr>
              <w:t xml:space="preserve">OSGi</w:t>
            </w:r>
          </w:p>
        </w:tc>
        <w:tc>
          <w:tcPr/>
          <w:p>
            <w:pPr>
              <w:pStyle w:val="TAH"/>
            </w:pPr>
            <w:r>
              <w:rPr>
                <w:b w:val="true"/>
              </w:rPr>
              <w:t xml:space="preserve">oneM2M</w:t>
            </w:r>
          </w:p>
        </w:tc>
        <w:tc>
          <w:tcPr/>
          <w:p>
            <w:pPr>
              <w:pStyle w:val="TAH"/>
            </w:pPr>
            <w:r>
              <w:rPr>
                <w:b w:val="true"/>
              </w:rPr>
              <w:t xml:space="preserve">Description</w:t>
            </w:r>
          </w:p>
        </w:tc>
      </w:tr>
      <w:tr>
        <w:tc>
          <w:tcPr/>
          <w:p>
            <w:pPr>
              <w:pStyle w:val="TAC"/>
            </w:pPr>
            <w:r>
              <w:t xml:space="preserve">alarm</w:t>
            </w:r>
          </w:p>
        </w:tc>
        <w:tc>
          <w:tcPr/>
          <w:p>
            <w:pPr>
              <w:pStyle w:val="TAC"/>
            </w:pPr>
            <w:r>
              <w:rPr>
                <w:i/>
                <w:iCs/>
              </w:rPr>
              <w:t xml:space="preserve">alarm</w:t>
            </w:r>
          </w:p>
        </w:tc>
        <w:tc>
          <w:tcPr/>
          <w:p>
            <w:pPr>
              <w:pStyle w:val="TAC"/>
            </w:pPr>
          </w:p>
        </w:tc>
      </w:tr>
    </w:tbl>
    <w:p/>
    <w:p>
      <w:pPr>
        <w:pStyle w:val="TH"/>
      </w:pPr>
      <w:r>
        <w:t xml:space="preserve">Table 6.3.7-3: Mapping of Alarm function to temperatureAlarm moduleClass</w:t>
      </w:r>
    </w:p>
    <w:tbl>
      <w:tblPr>
        <w:tblStyle w:val="Table"/>
        <w:tblW w:type="auto" w:w="0"/>
        <w:tblLook w:firstRow="1" w:lastRow="0" w:firstColumn="0" w:lastColumn="0" w:noHBand="0" w:noVBand="0" w:val="0020"/>
        <w:tblCaption w:val="Table 6.3.7-3: Mapping of Alarm function to temperatureAlarm moduleClass"/>
      </w:tblPr>
      <w:tblGrid>
        <w:gridCol w:w="2640"/>
        <w:gridCol w:w="2640"/>
        <w:gridCol w:w="2640"/>
      </w:tblGrid>
      <w:tr>
        <w:trPr>
          <w:tblHeader w:val="on"/>
        </w:trPr>
        <w:tc>
          <w:tcPr/>
          <w:p>
            <w:pPr>
              <w:pStyle w:val="TAH"/>
            </w:pPr>
            <w:r>
              <w:rPr>
                <w:b w:val="true"/>
              </w:rPr>
              <w:t xml:space="preserve">OSGi</w:t>
            </w:r>
          </w:p>
        </w:tc>
        <w:tc>
          <w:tcPr/>
          <w:p>
            <w:pPr>
              <w:pStyle w:val="TAH"/>
            </w:pPr>
            <w:r>
              <w:rPr>
                <w:b w:val="true"/>
              </w:rPr>
              <w:t xml:space="preserve">oneM2M</w:t>
            </w:r>
          </w:p>
        </w:tc>
        <w:tc>
          <w:tcPr/>
          <w:p>
            <w:pPr>
              <w:pStyle w:val="TAH"/>
            </w:pPr>
            <w:r>
              <w:rPr>
                <w:b w:val="true"/>
              </w:rPr>
              <w:t xml:space="preserve">Description</w:t>
            </w:r>
          </w:p>
        </w:tc>
      </w:tr>
      <w:tr>
        <w:tc>
          <w:tcPr/>
          <w:p>
            <w:pPr>
              <w:pStyle w:val="TAC"/>
            </w:pPr>
            <w:r>
              <w:t xml:space="preserve">alarm</w:t>
            </w:r>
          </w:p>
        </w:tc>
        <w:tc>
          <w:tcPr/>
          <w:p>
            <w:pPr>
              <w:pStyle w:val="TAC"/>
            </w:pPr>
            <w:r>
              <w:rPr>
                <w:i/>
                <w:iCs/>
              </w:rPr>
              <w:t xml:space="preserve">alarm</w:t>
            </w:r>
          </w:p>
        </w:tc>
        <w:tc>
          <w:tcPr/>
          <w:p>
            <w:pPr>
              <w:pStyle w:val="TAC"/>
            </w:pPr>
          </w:p>
        </w:tc>
      </w:tr>
    </w:tbl>
    <w:p/>
    <w:p>
      <w:pPr>
        <w:pStyle w:val="TH"/>
      </w:pPr>
      <w:r>
        <w:t xml:space="preserve">Table 6.3.7-4: Mapping of Alarm function to waterSensor moduleClass</w:t>
      </w:r>
    </w:p>
    <w:tbl>
      <w:tblPr>
        <w:tblStyle w:val="Table"/>
        <w:tblW w:type="auto" w:w="0"/>
        <w:tblLook w:firstRow="1" w:lastRow="0" w:firstColumn="0" w:lastColumn="0" w:noHBand="0" w:noVBand="0" w:val="0020"/>
        <w:tblCaption w:val="Table 6.3.7-4: Mapping of Alarm function to waterSensor moduleClass"/>
      </w:tblPr>
      <w:tblGrid>
        <w:gridCol w:w="2640"/>
        <w:gridCol w:w="2640"/>
        <w:gridCol w:w="2640"/>
      </w:tblGrid>
      <w:tr>
        <w:trPr>
          <w:tblHeader w:val="on"/>
        </w:trPr>
        <w:tc>
          <w:tcPr/>
          <w:p>
            <w:pPr>
              <w:pStyle w:val="TAH"/>
            </w:pPr>
            <w:r>
              <w:rPr>
                <w:b w:val="true"/>
              </w:rPr>
              <w:t xml:space="preserve">OSGi</w:t>
            </w:r>
          </w:p>
        </w:tc>
        <w:tc>
          <w:tcPr/>
          <w:p>
            <w:pPr>
              <w:pStyle w:val="TAH"/>
            </w:pPr>
            <w:r>
              <w:rPr>
                <w:b w:val="true"/>
              </w:rPr>
              <w:t xml:space="preserve">oneM2M</w:t>
            </w:r>
          </w:p>
        </w:tc>
        <w:tc>
          <w:tcPr/>
          <w:p>
            <w:pPr>
              <w:pStyle w:val="TAH"/>
            </w:pPr>
            <w:r>
              <w:rPr>
                <w:b w:val="true"/>
              </w:rPr>
              <w:t xml:space="preserve">Description</w:t>
            </w:r>
          </w:p>
        </w:tc>
      </w:tr>
      <w:tr>
        <w:tc>
          <w:tcPr/>
          <w:p>
            <w:pPr>
              <w:pStyle w:val="TAC"/>
            </w:pPr>
            <w:r>
              <w:t xml:space="preserve">alarm</w:t>
            </w:r>
          </w:p>
        </w:tc>
        <w:tc>
          <w:tcPr/>
          <w:p>
            <w:pPr>
              <w:pStyle w:val="TAC"/>
            </w:pPr>
            <w:r>
              <w:rPr>
                <w:i/>
                <w:iCs/>
              </w:rPr>
              <w:t xml:space="preserve">alarm</w:t>
            </w:r>
          </w:p>
        </w:tc>
        <w:tc>
          <w:tcPr/>
          <w:p>
            <w:pPr>
              <w:pStyle w:val="TAC"/>
            </w:pPr>
          </w:p>
        </w:tc>
      </w:tr>
    </w:tbl>
    <w:bookmarkEnd w:id="22"/>
    <w:bookmarkStart w:id="25" w:name="keypad-function"/>
    <w:p>
      <w:pPr>
        <w:pStyle w:val="Heading3"/>
      </w:pPr>
      <w:r>
        <w:t>6.3.8</w:t>
        <w:tab/>
        <w:t xml:space="preserve">Keypad Function</w:t>
      </w:r>
    </w:p>
    <w:p>
      <w:pPr>
        <w:pStyle w:val="Normal"/>
      </w:pPr>
      <w:r>
        <w:t xml:space="preserve">The Keypad Function maps to keypad moduleClass of oneM2M.</w:t>
      </w:r>
    </w:p>
    <w:p>
      <w:pPr>
        <w:pStyle w:val="TH"/>
      </w:pPr>
      <w:r>
        <w:t xml:space="preserve">Table 6.3.8-1: Mapping of Keypad function to keypad moduleClass</w:t>
      </w:r>
    </w:p>
    <w:tbl>
      <w:tblPr>
        <w:tblStyle w:val="Table"/>
        <w:tblW w:type="auto" w:w="0"/>
        <w:tblLook w:firstRow="1" w:lastRow="0" w:firstColumn="0" w:lastColumn="0" w:noHBand="0" w:noVBand="0" w:val="0020"/>
        <w:tblCaption w:val="Table 6.3.8-1: Mapping of Keypad function to keypad moduleClass"/>
      </w:tblPr>
      <w:tblGrid>
        <w:gridCol w:w="2640"/>
        <w:gridCol w:w="2640"/>
        <w:gridCol w:w="2640"/>
      </w:tblGrid>
      <w:tr>
        <w:trPr>
          <w:tblHeader w:val="on"/>
        </w:trPr>
        <w:tc>
          <w:tcPr/>
          <w:p>
            <w:pPr>
              <w:pStyle w:val="TAH"/>
            </w:pPr>
            <w:r>
              <w:rPr>
                <w:b w:val="true"/>
              </w:rPr>
              <w:t xml:space="preserve">OSGi</w:t>
            </w:r>
          </w:p>
        </w:tc>
        <w:tc>
          <w:tcPr/>
          <w:p>
            <w:pPr>
              <w:pStyle w:val="TAH"/>
            </w:pPr>
            <w:r>
              <w:rPr>
                <w:b w:val="true"/>
              </w:rPr>
              <w:t xml:space="preserve">oneM2M</w:t>
            </w:r>
          </w:p>
        </w:tc>
        <w:tc>
          <w:tcPr/>
          <w:p>
            <w:pPr>
              <w:pStyle w:val="TAH"/>
            </w:pPr>
            <w:r>
              <w:rPr>
                <w:b w:val="true"/>
              </w:rPr>
              <w:t xml:space="preserve">Description</w:t>
            </w:r>
          </w:p>
        </w:tc>
      </w:tr>
      <w:tr>
        <w:tc>
          <w:tcPr/>
          <w:p>
            <w:pPr>
              <w:pStyle w:val="TAC"/>
            </w:pPr>
            <w:r>
              <w:t xml:space="preserve">key</w:t>
            </w:r>
          </w:p>
        </w:tc>
        <w:tc>
          <w:tcPr/>
          <w:p>
            <w:pPr>
              <w:pStyle w:val="TAC"/>
            </w:pPr>
            <w:r>
              <w:rPr>
                <w:i/>
                <w:iCs/>
              </w:rPr>
              <w:t xml:space="preserve">keyNumber</w:t>
            </w:r>
          </w:p>
        </w:tc>
        <w:tc>
          <w:tcPr/>
          <w:p>
            <w:pPr>
              <w:pStyle w:val="TAC"/>
            </w:pPr>
          </w:p>
        </w:tc>
      </w:tr>
    </w:tbl>
    <w:bookmarkEnd w:id="23"/>
    <w:bookmarkStart w:id="26" w:name="wakeup-function"/>
    <w:p>
      <w:pPr>
        <w:pStyle w:val="Heading3"/>
      </w:pPr>
      <w:r>
        <w:t>6.3.9</w:t>
        <w:tab/>
        <w:t xml:space="preserve">WakeUp Function</w:t>
      </w:r>
    </w:p>
    <w:p>
      <w:pPr>
        <w:pStyle w:val="Normal"/>
      </w:pPr>
      <w:r>
        <w:t xml:space="preserve">This Function currently has no corresponding moduleClass in oneM2M.</w:t>
      </w:r>
    </w:p>
    <w:bookmarkEnd w:id="24"/>
    <w:bookmarkEnd w:id="25"/>
    <w:bookmarkStart w:id="27" w:name="device-service-procedure"/>
    <w:p>
      <w:pPr>
        <w:pStyle w:val="Heading2"/>
      </w:pPr>
      <w:r>
        <w:t>6.4</w:t>
        <w:tab/>
        <w:t xml:space="preserve">Device service procedure</w:t>
      </w:r>
    </w:p>
    <w:p>
      <w:pPr>
        <w:pStyle w:val="Normal"/>
      </w:pPr>
      <w:r>
        <w:t xml:space="preserve">The IPE is responsible for monitoring the OSGi Device service and synchronizing the properties of the Device service to attributes of the oneM2M resources.</w:t>
      </w:r>
    </w:p>
    <w:p xmlns:a="http://schemas.openxmlformats.org/drawingml/2006/main" xmlns:pic="http://schemas.openxmlformats.org/drawingml/2006/picture">
      <w:pPr>
        <w:pStyle w:val="FL"/>
      </w:pPr>
      <w:r>
        <w:drawing>
          <wp:inline>
            <wp:extent cx="6108700" cy="1518203"/>
            <wp:effectExtent b="0" l="0" r="0" t="0"/>
            <wp:docPr descr="Figure 6.4-1: Procedure of registering Device service" title="" id="4" name="Picture"/>
            <a:graphic>
              <a:graphicData uri="http://schemas.openxmlformats.org/drawingml/2006/picture">
                <pic:pic>
                  <pic:nvPicPr>
                    <pic:cNvPr descr="./media/6.4-1.png" id="4" name="Picture"/>
                    <pic:cNvPicPr>
                      <a:picLocks noChangeArrowheads="1" noChangeAspect="1"/>
                    </pic:cNvPicPr>
                  </pic:nvPicPr>
                  <pic:blipFill>
                    <a:blip r:embed="rId17"/>
                    <a:stretch>
                      <a:fillRect/>
                    </a:stretch>
                  </pic:blipFill>
                  <pic:spPr bwMode="auto">
                    <a:xfrm>
                      <a:off x="0" y="0"/>
                      <a:ext cx="6108700" cy="1518203"/>
                    </a:xfrm>
                    <a:prstGeom prst="rect">
                      <a:avLst/>
                    </a:prstGeom>
                    <a:noFill/>
                    <a:ln w="9525">
                      <a:noFill/>
                      <a:headEnd/>
                      <a:tailEnd/>
                    </a:ln>
                  </pic:spPr>
                </pic:pic>
              </a:graphicData>
            </a:graphic>
          </wp:inline>
        </w:drawing>
      </w:r>
    </w:p>
    <w:p>
      <w:pPr>
        <w:pStyle w:val="TF"/>
      </w:pPr>
      <w:r>
        <w:t xml:space="preserve">Figure 6.4-1: Procedure of registering Device service</w:t>
      </w:r>
    </w:p>
    <w:p>
      <w:pPr>
        <w:pStyle w:val="Normal"/>
      </w:pPr>
      <w:r>
        <w:t>The mapping of resources shall follow the definition in oneM2M TS</w:t>
      </w:r>
      <w:r>
        <w:noBreakHyphen/>
      </w:r>
      <w:r>
        <w:t>0033</w:t>
      </w:r>
      <w:r>
        <w:t xml:space="preserve"> </w:t>
      </w:r>
      <w:hyperlink w:anchor="X43b58990f2b8fb6933d1a1555450410c613db3d">
        <w:r>
          <w:rPr>
            <w:rStyle w:val="Normal"/>
          </w:rPr>
          <w:t xml:space="preserve">[2]</w:t>
        </w:r>
      </w:hyperlink>
      <w:r>
        <w:t xml:space="preserve"> </w:t>
      </w:r>
      <w:r>
        <w:t xml:space="preserve">proximal IoT interworking. Depending on the available properties of the Device service,</w:t>
      </w:r>
      <w:r>
        <w:t xml:space="preserve"> </w:t>
      </w:r>
      <w:r>
        <w:rPr>
          <w:i/>
          <w:iCs/>
        </w:rPr>
        <w:t xml:space="preserve">&lt;node&gt;</w:t>
      </w:r>
      <w:r>
        <w:t xml:space="preserve"> </w:t>
      </w:r>
      <w:r>
        <w:t xml:space="preserve">resource,</w:t>
      </w:r>
      <w:r>
        <w:t xml:space="preserve"> </w:t>
      </w:r>
      <w:r>
        <w:rPr>
          <w:i/>
          <w:iCs/>
        </w:rPr>
        <w:t xml:space="preserve">&lt;AE&gt;</w:t>
      </w:r>
      <w:r>
        <w:t xml:space="preserve"> </w:t>
      </w:r>
      <w:r>
        <w:t xml:space="preserve">resource,</w:t>
      </w:r>
      <w:r>
        <w:t xml:space="preserve"> </w:t>
      </w:r>
      <w:r>
        <w:rPr>
          <w:i/>
          <w:iCs/>
        </w:rPr>
        <w:t xml:space="preserve">&lt;container&gt;</w:t>
      </w:r>
      <w:r>
        <w:t xml:space="preserve"> </w:t>
      </w:r>
      <w:r>
        <w:t xml:space="preserve">resource or</w:t>
      </w:r>
      <w:r>
        <w:t xml:space="preserve"> </w:t>
      </w:r>
      <w:r>
        <w:rPr>
          <w:i/>
          <w:iCs/>
        </w:rPr>
        <w:t xml:space="preserve">&lt;flexContainer&gt;</w:t>
      </w:r>
      <w:r>
        <w:t xml:space="preserve"> </w:t>
      </w:r>
      <w:r>
        <w:t xml:space="preserve">resource may be used to represent the Device service.</w:t>
      </w:r>
    </w:p>
    <w:bookmarkEnd w:id="26"/>
    <w:bookmarkStart w:id="28" w:name="function-service-procedure"/>
    <w:p>
      <w:pPr>
        <w:pStyle w:val="Heading2"/>
      </w:pPr>
      <w:r>
        <w:t>6.5</w:t>
        <w:tab/>
        <w:t xml:space="preserve">Function service procedure</w:t>
      </w:r>
    </w:p>
    <w:p>
      <w:pPr>
        <w:pStyle w:val="Normal"/>
      </w:pPr>
      <w:r>
        <w:t xml:space="preserve">The IPE is responsible for monitoring the Function property and synchronizing the change of the property to oneM2M resources. The IPE is also responsible for monitoring the update of the oneM2M resource that corresponds to the Function operation. Upon receiving the request targeting the resource, the IPE shall invoke the corresponding Function operation.</w:t>
      </w:r>
    </w:p>
    <w:p xmlns:a="http://schemas.openxmlformats.org/drawingml/2006/main" xmlns:pic="http://schemas.openxmlformats.org/drawingml/2006/picture">
      <w:pPr>
        <w:pStyle w:val="FL"/>
      </w:pPr>
      <w:r>
        <w:drawing>
          <wp:inline>
            <wp:extent cx="6108700" cy="1656222"/>
            <wp:effectExtent b="0" l="0" r="0" t="0"/>
            <wp:docPr descr="Figure 6.5-1: Procedure of registering function service" title="" id="5" name="Picture"/>
            <a:graphic>
              <a:graphicData uri="http://schemas.openxmlformats.org/drawingml/2006/picture">
                <pic:pic>
                  <pic:nvPicPr>
                    <pic:cNvPr descr="./media/6.5-1.png" id="5" name="Picture"/>
                    <pic:cNvPicPr>
                      <a:picLocks noChangeArrowheads="1" noChangeAspect="1"/>
                    </pic:cNvPicPr>
                  </pic:nvPicPr>
                  <pic:blipFill>
                    <a:blip r:embed="rId18"/>
                    <a:stretch>
                      <a:fillRect/>
                    </a:stretch>
                  </pic:blipFill>
                  <pic:spPr bwMode="auto">
                    <a:xfrm>
                      <a:off x="0" y="0"/>
                      <a:ext cx="6108700" cy="1656222"/>
                    </a:xfrm>
                    <a:prstGeom prst="rect">
                      <a:avLst/>
                    </a:prstGeom>
                    <a:noFill/>
                    <a:ln w="9525">
                      <a:noFill/>
                      <a:headEnd/>
                      <a:tailEnd/>
                    </a:ln>
                  </pic:spPr>
                </pic:pic>
              </a:graphicData>
            </a:graphic>
          </wp:inline>
        </w:drawing>
      </w:r>
    </w:p>
    <w:p>
      <w:pPr>
        <w:pStyle w:val="TF"/>
      </w:pPr>
      <w:r>
        <w:t xml:space="preserve">Figure 6.5-1: Procedure of registering function service</w:t>
      </w:r>
    </w:p>
    <w:p>
      <w:pPr>
        <w:pStyle w:val="Normal"/>
      </w:pPr>
      <w:r>
        <w:t xml:space="preserve">Monitors the registration: The IPE monitors the registration of the Function service to the OSGi framework.</w:t>
      </w:r>
    </w:p>
    <w:p>
      <w:pPr>
        <w:pStyle w:val="Normal"/>
      </w:pPr>
      <w:r>
        <w:t xml:space="preserve">Create resource: The IPE creates the corresponding resource to the oneM2M CSE.</w:t>
      </w:r>
    </w:p>
    <w:p xmlns:a="http://schemas.openxmlformats.org/drawingml/2006/main" xmlns:pic="http://schemas.openxmlformats.org/drawingml/2006/picture">
      <w:pPr>
        <w:pStyle w:val="FL"/>
      </w:pPr>
      <w:r>
        <w:drawing>
          <wp:inline>
            <wp:extent cx="6108700" cy="1606535"/>
            <wp:effectExtent b="0" l="0" r="0" t="0"/>
            <wp:docPr descr="Figure 6.5-2: Procedure of changing function property" title="" id="6" name="Picture"/>
            <a:graphic>
              <a:graphicData uri="http://schemas.openxmlformats.org/drawingml/2006/picture">
                <pic:pic>
                  <pic:nvPicPr>
                    <pic:cNvPr descr="./media/6.5-2.png" id="6" name="Picture"/>
                    <pic:cNvPicPr>
                      <a:picLocks noChangeArrowheads="1" noChangeAspect="1"/>
                    </pic:cNvPicPr>
                  </pic:nvPicPr>
                  <pic:blipFill>
                    <a:blip r:embed="rId19"/>
                    <a:stretch>
                      <a:fillRect/>
                    </a:stretch>
                  </pic:blipFill>
                  <pic:spPr bwMode="auto">
                    <a:xfrm>
                      <a:off x="0" y="0"/>
                      <a:ext cx="6108700" cy="1606535"/>
                    </a:xfrm>
                    <a:prstGeom prst="rect">
                      <a:avLst/>
                    </a:prstGeom>
                    <a:noFill/>
                    <a:ln w="9525">
                      <a:noFill/>
                      <a:headEnd/>
                      <a:tailEnd/>
                    </a:ln>
                  </pic:spPr>
                </pic:pic>
              </a:graphicData>
            </a:graphic>
          </wp:inline>
        </w:drawing>
      </w:r>
    </w:p>
    <w:p>
      <w:pPr>
        <w:pStyle w:val="TF"/>
      </w:pPr>
      <w:r>
        <w:t xml:space="preserve">Figure 6.5-2: Procedure of changing function property</w:t>
      </w:r>
    </w:p>
    <w:p>
      <w:pPr>
        <w:pStyle w:val="Normal"/>
      </w:pPr>
      <w:r>
        <w:t xml:space="preserve">Change of Function property: The Function property may be changed due to various reasons such as hardware triggered break, sensor change, local application change etc.</w:t>
      </w:r>
    </w:p>
    <w:p>
      <w:pPr>
        <w:pStyle w:val="Normal"/>
      </w:pPr>
      <w:r>
        <w:t xml:space="preserve">Monitors the change: The IPE monitors the change by subscribing to the eventable properties, acquiring the property periodically or by some other internal call back functions.</w:t>
      </w:r>
    </w:p>
    <w:p>
      <w:pPr>
        <w:pStyle w:val="Normal"/>
      </w:pPr>
      <w:r>
        <w:t xml:space="preserve">Update the resource: The IPE updates the corresponding resource of the Function.</w:t>
      </w:r>
    </w:p>
    <w:p xmlns:a="http://schemas.openxmlformats.org/drawingml/2006/main" xmlns:pic="http://schemas.openxmlformats.org/drawingml/2006/picture">
      <w:pPr>
        <w:pStyle w:val="FL"/>
      </w:pPr>
      <w:r>
        <w:drawing>
          <wp:inline>
            <wp:extent cx="6108700" cy="1631378"/>
            <wp:effectExtent b="0" l="0" r="0" t="0"/>
            <wp:docPr descr="Figure 6.5-3: Procedure of invoking function operation" title="" id="7" name="Picture"/>
            <a:graphic>
              <a:graphicData uri="http://schemas.openxmlformats.org/drawingml/2006/picture">
                <pic:pic>
                  <pic:nvPicPr>
                    <pic:cNvPr descr="./media/6.5-3.png" id="7" name="Picture"/>
                    <pic:cNvPicPr>
                      <a:picLocks noChangeArrowheads="1" noChangeAspect="1"/>
                    </pic:cNvPicPr>
                  </pic:nvPicPr>
                  <pic:blipFill>
                    <a:blip r:embed="rId20"/>
                    <a:stretch>
                      <a:fillRect/>
                    </a:stretch>
                  </pic:blipFill>
                  <pic:spPr bwMode="auto">
                    <a:xfrm>
                      <a:off x="0" y="0"/>
                      <a:ext cx="6108700" cy="1631378"/>
                    </a:xfrm>
                    <a:prstGeom prst="rect">
                      <a:avLst/>
                    </a:prstGeom>
                    <a:noFill/>
                    <a:ln w="9525">
                      <a:noFill/>
                      <a:headEnd/>
                      <a:tailEnd/>
                    </a:ln>
                  </pic:spPr>
                </pic:pic>
              </a:graphicData>
            </a:graphic>
          </wp:inline>
        </w:drawing>
      </w:r>
    </w:p>
    <w:p>
      <w:pPr>
        <w:pStyle w:val="TF"/>
      </w:pPr>
      <w:r>
        <w:t xml:space="preserve">Figure 6.5-3: Procedure of invoking function operation</w:t>
      </w:r>
    </w:p>
    <w:p>
      <w:pPr>
        <w:pStyle w:val="Normal"/>
      </w:pPr>
      <w:r>
        <w:t xml:space="preserve">Update resource: The oneM2M CSE receives update requests from applications to update the resource that corresponds with the Function service.</w:t>
      </w:r>
    </w:p>
    <w:p>
      <w:pPr>
        <w:pStyle w:val="Normal"/>
      </w:pPr>
      <w:r>
        <w:t xml:space="preserve">Monitors the change: The IPE monitors the change by subscribing to the resource and receiving notifications or polling etc.</w:t>
      </w:r>
    </w:p>
    <w:p>
      <w:pPr>
        <w:pStyle w:val="Normal"/>
      </w:pPr>
      <w:r>
        <w:t xml:space="preserve">Invoke the function operation: The IPE invokes the function operation provided by the Function service.</w:t>
      </w:r>
    </w:p>
    <w:bookmarkEnd w:id="27"/>
    <w:bookmarkEnd w:id="28"/>
    <w:bookmarkStart w:id="29" w:name="history"/>
    <w:p>
      <w:r>
        <w:br w:type="page"/>
      </w:r>
    </w:p>
    <w:p>
      <w:pPr>
        <w:pStyle w:val="Heading1"/>
      </w:pPr>
      <w:r>
        <w:t xml:space="preserve">History</w:t>
      </w:r>
    </w:p>
    <w:tbl>
      <w:tblPr>
        <w:tblStyle w:val="Table"/>
        <w:tblW w:type="pct" w:w="3125"/>
        <w:tblLayout w:type="fixed"/>
        <w:tblLook w:firstRow="1" w:lastRow="0" w:firstColumn="0" w:lastColumn="0" w:noHBand="0" w:noVBand="0" w:val="0020"/>
      </w:tblPr>
      <w:tblGrid>
        <w:gridCol w:w="770"/>
        <w:gridCol w:w="1540"/>
        <w:gridCol w:w="2640"/>
      </w:tblGrid>
      <w:tr>
        <w:trPr>
          <w:tblHeader w:val="on"/>
        </w:trPr>
        <w:tc>
          <w:tcPr>
            <w:gridSpan w:val="3"/>
          </w:tcPr>
          <w:p>
            <w:pPr>
              <w:pStyle w:val="TAH"/>
              <w:jc w:val="left"/>
            </w:pPr>
            <w:r>
              <w:rPr>
                <w:b w:val="true"/>
              </w:rPr>
              <w:t xml:space="preserve">Publication history</w:t>
            </w:r>
          </w:p>
        </w:tc>
      </w:tr>
      <w:tr>
        <w:tc>
          <w:tcPr/>
          <w:p>
            <w:pPr>
              <w:pStyle w:val="TAL"/>
              <w:jc w:val="left"/>
            </w:pPr>
            <w:r>
              <w:t xml:space="preserve">V3.0.0</w:t>
            </w:r>
          </w:p>
        </w:tc>
        <w:tc>
          <w:tcPr/>
          <w:p>
            <w:pPr>
              <w:pStyle w:val="TAL"/>
              <w:jc w:val="left"/>
            </w:pPr>
            <w:r>
              <w:t xml:space="preserve">April 2019</w:t>
            </w:r>
          </w:p>
        </w:tc>
        <w:tc>
          <w:tcPr/>
          <w:p>
            <w:pPr>
              <w:pStyle w:val="TAL"/>
              <w:jc w:val="left"/>
            </w:pPr>
            <w:r>
              <w:t xml:space="preserve">Release 3 - Publication</w:t>
            </w:r>
          </w:p>
        </w:tc>
      </w:tr>
      <w:tr>
        <w:tc>
          <w:tcPr/>
          <w:p>
            <w:pPr>
              <w:pStyle w:val="TAL"/>
              <w:jc w:val="left"/>
            </w:pPr>
            <w:r>
              <w:t xml:space="preserve">V4.0.0</w:t>
            </w:r>
          </w:p>
        </w:tc>
        <w:tc>
          <w:tcPr/>
          <w:p>
            <w:pPr>
              <w:pStyle w:val="TAL"/>
              <w:jc w:val="left"/>
            </w:pPr>
            <w:r>
              <w:t xml:space="preserve">February 2023</w:t>
            </w:r>
          </w:p>
        </w:tc>
        <w:tc>
          <w:tcPr/>
          <w:p>
            <w:pPr>
              <w:pStyle w:val="TAL"/>
              <w:jc w:val="left"/>
            </w:pPr>
            <w:r>
              <w:t xml:space="preserve">Release 4 - Publication</w:t>
            </w:r>
          </w:p>
        </w:tc>
      </w:tr>
      <w:tr>
        <w:tc>
          <w:tcPr/>
          <w:p>
            <w:pPr>
              <w:pStyle w:val="TAC"/>
            </w:pPr>
          </w:p>
        </w:tc>
        <w:tc>
          <w:tcPr/>
          <w:p>
            <w:pPr>
              <w:pStyle w:val="TAC"/>
            </w:pPr>
          </w:p>
        </w:tc>
        <w:tc>
          <w:tcPr/>
          <w:p>
            <w:pPr>
              <w:pStyle w:val="TAC"/>
            </w:pPr>
          </w:p>
        </w:tc>
      </w:tr>
      <w:tr>
        <w:tc>
          <w:tcPr/>
          <w:p>
            <w:pPr>
              <w:pStyle w:val="TAC"/>
            </w:pPr>
          </w:p>
        </w:tc>
        <w:tc>
          <w:tcPr/>
          <w:p>
            <w:pPr>
              <w:pStyle w:val="TAC"/>
            </w:pPr>
          </w:p>
        </w:tc>
        <w:tc>
          <w:tcPr/>
          <w:p>
            <w:pPr>
              <w:pStyle w:val="TAC"/>
            </w:pPr>
          </w:p>
        </w:tc>
      </w:tr>
    </w:tbl>
    <w:p/>
    <w:tbl>
      <w:tblPr>
        <w:tblStyle w:val="Table"/>
        <w:tblW w:type="pct" w:w="4943"/>
        <w:tblLayout w:type="fixed"/>
        <w:tblLook w:firstRow="1" w:lastRow="0" w:firstColumn="0" w:lastColumn="0" w:noHBand="0" w:noVBand="0" w:val="0020"/>
      </w:tblPr>
      <w:tblGrid>
        <w:gridCol w:w="728"/>
        <w:gridCol w:w="1547"/>
        <w:gridCol w:w="5553"/>
      </w:tblGrid>
      <w:tr>
        <w:trPr>
          <w:tblHeader w:val="on"/>
        </w:trPr>
        <w:tc>
          <w:tcPr>
            <w:gridSpan w:val="3"/>
          </w:tcPr>
          <w:p>
            <w:pPr>
              <w:pStyle w:val="TAH"/>
              <w:jc w:val="left"/>
            </w:pPr>
            <w:r>
              <w:rPr>
                <w:b w:val="true"/>
              </w:rPr>
              <w:t xml:space="preserve">Draft history (to be removed on publication)</w:t>
            </w:r>
          </w:p>
        </w:tc>
      </w:tr>
      <w:tr>
        <w:tc>
          <w:tcPr/>
          <w:p>
            <w:pPr>
              <w:pStyle w:val="TAL"/>
              <w:jc w:val="left"/>
            </w:pPr>
            <w:r>
              <w:t xml:space="preserve">V5.0.0</w:t>
            </w:r>
          </w:p>
        </w:tc>
        <w:tc>
          <w:tcPr/>
          <w:p>
            <w:pPr>
              <w:pStyle w:val="TAL"/>
              <w:jc w:val="left"/>
            </w:pPr>
            <w:r>
              <w:t xml:space="preserve">2025-04-01</w:t>
            </w:r>
          </w:p>
        </w:tc>
        <w:tc>
          <w:tcPr/>
          <w:p>
            <w:pPr>
              <w:pStyle w:val="TAL"/>
              <w:jc w:val="left"/>
            </w:pPr>
            <w:r>
              <w:t xml:space="preserve">First draft for Rel-5 based on V4.0.0</w:t>
            </w:r>
          </w:p>
        </w:tc>
      </w:tr>
      <w:tr>
        <w:tc>
          <w:tcPr/>
          <w:p>
            <w:pPr>
              <w:pStyle w:val="TAL"/>
              <w:jc w:val="left"/>
            </w:pPr>
            <w:r>
              <w:t xml:space="preserve">V5.0.1</w:t>
            </w:r>
          </w:p>
        </w:tc>
        <w:tc>
          <w:tcPr/>
          <w:p>
            <w:pPr>
              <w:pStyle w:val="TAL"/>
              <w:jc w:val="left"/>
            </w:pPr>
            <w:r>
              <w:t xml:space="preserve">2026-03-19</w:t>
            </w:r>
          </w:p>
        </w:tc>
        <w:tc>
          <w:tcPr/>
          <w:p>
            <w:pPr>
              <w:pStyle w:val="TAL"/>
              <w:jc w:val="left"/>
            </w:pPr>
            <w:r>
              <w:t xml:space="preserve">Conversion to markdown format</w:t>
            </w:r>
          </w:p>
        </w:tc>
      </w:tr>
      <w:tr>
        <w:tc>
          <w:tcPr/>
          <w:p>
            <w:pPr>
              <w:pStyle w:val="TAC"/>
            </w:pPr>
          </w:p>
        </w:tc>
        <w:tc>
          <w:tcPr/>
          <w:p>
            <w:pPr>
              <w:pStyle w:val="TAC"/>
            </w:pPr>
          </w:p>
        </w:tc>
        <w:tc>
          <w:tcPr/>
          <w:p>
            <w:pPr>
              <w:pStyle w:val="TAC"/>
            </w:pPr>
          </w:p>
        </w:tc>
      </w:tr>
    </w:tbl>
    <w:bookmarkEnd w:id="29"/>
    <w:sectPr w:rsidR="00ED3F92" w:rsidSect="00BB56BD">
      <w:footerReference w:type="default" r:id="rId8"/>
      <w:headerReference w:type="default" r:id="rId11"/>
      <w:footnotePr>
        <w:numRestart w:val="eachSect"/>
      </w:footnotePr>
      <w:pgSz w:w="11907" w:h="16840"/>
      <w:pgMar w:top="1418" w:right="1134" w:bottom="1134" w:left="1134" w:header="851" w:footer="34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434B3C" w14:textId="77777777" w:rsidR="003B5B07" w:rsidRDefault="003B5B07">
      <w:r>
        <w:separator/>
      </w:r>
    </w:p>
  </w:endnote>
  <w:endnote w:type="continuationSeparator" w:id="0">
    <w:p w14:paraId="55589B34" w14:textId="77777777" w:rsidR="003B5B07" w:rsidRDefault="003B5B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Che">
    <w:charset w:val="81"/>
    <w:family w:val="modern"/>
    <w:pitch w:val="fixed"/>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Myriad Pro">
    <w:altName w:val="Corbel"/>
    <w:panose1 w:val="00000000000000000000"/>
    <w:charset w:val="00"/>
    <w:family w:val="swiss"/>
    <w:notTrueType/>
    <w:pitch w:val="variable"/>
    <w:sig w:usb0="00000001" w:usb1="5000204B"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EF620" w14:textId="7B328EBE" w:rsidR="00213CEE" w:rsidRDefault="00213CEE" w:rsidP="00325EA3">
    <w:pPr>
      <w:pStyle w:val="Footer"/>
      <w:tabs>
        <w:tab w:val="center" w:pos="4678"/>
        <w:tab w:val="right" w:pos="9214"/>
      </w:tabs>
      <w:jc w:val="both"/>
      <w:rPr>
        <w:lang w:val="en-GB"/>
      </w:rPr>
    </w:pPr>
    <w:r>
      <w:rPr>
        <w:rFonts w:cs="Arial"/>
        <w:lang w:val="en-GB"/>
      </w:rPr>
      <w:tab/>
      <w:t>©</w:t>
    </w:r>
    <w:r>
      <w:rPr>
        <w:lang w:val="en-GB"/>
      </w:rPr>
      <w:t xml:space="preserve"> </w:t>
    </w:r>
    <w:r w:rsidR="00517B65" w:rsidRPr="00517B65">
      <w:rPr>
        <w:rFonts w:eastAsia="Calibri"/>
        <w:szCs w:val="18"/>
        <w:lang w:val="en-US"/>
      </w:rPr>
      <w:t>2026</w:t>
    </w:r>
    <w:r w:rsidR="00517B65">
      <w:rPr>
        <w:rFonts w:eastAsia="Calibri"/>
        <w:szCs w:val="18"/>
        <w:lang w:val="en-US"/>
      </w:rPr>
      <w:t xml:space="preserve">, </w:t>
    </w:r>
    <w:r w:rsidR="000565D9">
      <w:rPr>
        <w:lang w:val="en-GB"/>
      </w:rPr>
      <w:t>oneM2M</w:t>
    </w:r>
    <w:r w:rsidR="00E278AD">
      <w:rPr>
        <w:lang w:val="en-GB"/>
      </w:rPr>
      <w:t xml:space="preserve"> </w:t>
    </w:r>
    <w:r>
      <w:rPr>
        <w:lang w:val="en-GB"/>
      </w:rPr>
      <w:t>Partners</w:t>
    </w:r>
    <w:r w:rsidR="00E278AD" w:rsidRPr="00E278AD">
      <w:t xml:space="preserve"> </w:t>
    </w:r>
    <w:r w:rsidR="00E278AD" w:rsidRPr="00E278AD">
      <w:rPr>
        <w:lang w:val="en-GB"/>
      </w:rPr>
      <w:t>Type 1</w:t>
    </w:r>
    <w:r>
      <w:rPr>
        <w:lang w:val="en-GB"/>
      </w:rPr>
      <w:tab/>
      <w:t xml:space="preserve">Page </w:t>
    </w:r>
    <w:r>
      <w:rPr>
        <w:lang w:val="en-GB"/>
      </w:rPr>
      <w:fldChar w:fldCharType="begin"/>
    </w:r>
    <w:r>
      <w:rPr>
        <w:lang w:val="en-GB"/>
      </w:rPr>
      <w:instrText xml:space="preserve"> PAGE   \* MERGEFORMAT </w:instrText>
    </w:r>
    <w:r>
      <w:rPr>
        <w:lang w:val="en-GB"/>
      </w:rPr>
      <w:fldChar w:fldCharType="separate"/>
    </w:r>
    <w:r w:rsidR="0013447F">
      <w:rPr>
        <w:lang w:val="en-GB"/>
      </w:rPr>
      <w:t>7</w:t>
    </w:r>
    <w:r>
      <w:rPr>
        <w:lang w:val="en-GB"/>
      </w:rPr>
      <w:fldChar w:fldCharType="end"/>
    </w:r>
    <w:r>
      <w:rPr>
        <w:lang w:val="en-GB"/>
      </w:rPr>
      <w:t xml:space="preserve"> of </w:t>
    </w:r>
    <w:r>
      <w:rPr>
        <w:lang w:val="en-GB"/>
      </w:rPr>
      <w:fldChar w:fldCharType="begin"/>
    </w:r>
    <w:r>
      <w:rPr>
        <w:lang w:val="en-GB"/>
      </w:rPr>
      <w:instrText xml:space="preserve"> NUMPAGES   \* MERGEFORMAT </w:instrText>
    </w:r>
    <w:r>
      <w:rPr>
        <w:lang w:val="en-GB"/>
      </w:rPr>
      <w:fldChar w:fldCharType="separate"/>
    </w:r>
    <w:r w:rsidR="0013447F">
      <w:rPr>
        <w:lang w:val="en-GB"/>
      </w:rPr>
      <w:t>7</w:t>
    </w:r>
    <w:r>
      <w:rPr>
        <w:lang w:val="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5115C0" w14:textId="77777777" w:rsidR="003B5B07" w:rsidRDefault="003B5B07">
      <w:r>
        <w:separator/>
      </w:r>
    </w:p>
  </w:footnote>
  <w:footnote w:type="continuationSeparator" w:id="0">
    <w:p w14:paraId="3D819F14" w14:textId="77777777" w:rsidR="003B5B07" w:rsidRDefault="003B5B07">
      <w:r>
        <w:continuationSeparator/>
      </w:r>
    </w:p>
  </w:footnote>
</w:footnote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50ED7F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3C4A6EB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036EEB52"/>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99E36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A16205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58456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91C347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70C7C7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6147F2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A5ECF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FFFFFFFF"/>
    <w:lvl w:ilvl="0">
      <w:numFmt w:val="decimal"/>
      <w:lvlText w:val="*"/>
      <w:lvlJc w:val="left"/>
    </w:lvl>
  </w:abstractNum>
  <w:abstractNum w:abstractNumId="11" w15:restartNumberingAfterBreak="0">
    <w:nsid w:val="01AE174B"/>
    <w:multiLevelType w:val="hybridMultilevel"/>
    <w:tmpl w:val="92147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7FB46C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0A603540"/>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0C15FE7"/>
    <w:multiLevelType w:val="hybridMultilevel"/>
    <w:tmpl w:val="1736DD48"/>
    <w:lvl w:ilvl="0" w:tplc="4E462B14">
      <w:start w:val="1"/>
      <w:numFmt w:val="bullet"/>
      <w:pStyle w:val="B3"/>
      <w:lvlText w:val=""/>
      <w:lvlJc w:val="left"/>
      <w:pPr>
        <w:tabs>
          <w:tab w:val="num" w:pos="1644"/>
        </w:tabs>
        <w:ind w:left="1644" w:hanging="453"/>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A0156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B25121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B3A27F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216A26D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29F978E9"/>
    <w:multiLevelType w:val="hybridMultilevel"/>
    <w:tmpl w:val="669A7826"/>
    <w:lvl w:ilvl="0" w:tplc="9704FDD4">
      <w:start w:val="1"/>
      <w:numFmt w:val="bullet"/>
      <w:pStyle w:val="B1"/>
      <w:lvlText w:val=""/>
      <w:lvlJc w:val="left"/>
      <w:pPr>
        <w:tabs>
          <w:tab w:val="num" w:pos="737"/>
        </w:tabs>
        <w:ind w:left="737" w:hanging="453"/>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3A4621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35C80964"/>
    <w:multiLevelType w:val="hybridMultilevel"/>
    <w:tmpl w:val="E9C00184"/>
    <w:lvl w:ilvl="0" w:tplc="3EF48BA0">
      <w:start w:val="1"/>
      <w:numFmt w:val="decimal"/>
      <w:pStyle w:val="BN"/>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362569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36E06F2F"/>
    <w:multiLevelType w:val="hybridMultilevel"/>
    <w:tmpl w:val="38F8FDB2"/>
    <w:lvl w:ilvl="0" w:tplc="3C2E171E">
      <w:start w:val="1"/>
      <w:numFmt w:val="bullet"/>
      <w:lvlText w:val=""/>
      <w:lvlJc w:val="left"/>
      <w:pPr>
        <w:tabs>
          <w:tab w:val="num" w:pos="720"/>
        </w:tabs>
        <w:ind w:left="720" w:hanging="360"/>
      </w:pPr>
      <w:rPr>
        <w:rFonts w:ascii="Symbol" w:hAnsi="Symbol" w:hint="default"/>
        <w:sz w:val="20"/>
      </w:rPr>
    </w:lvl>
    <w:lvl w:ilvl="1" w:tplc="4DC4D2E8" w:tentative="1">
      <w:start w:val="1"/>
      <w:numFmt w:val="bullet"/>
      <w:lvlText w:val="o"/>
      <w:lvlJc w:val="left"/>
      <w:pPr>
        <w:tabs>
          <w:tab w:val="num" w:pos="1440"/>
        </w:tabs>
        <w:ind w:left="1440" w:hanging="360"/>
      </w:pPr>
      <w:rPr>
        <w:rFonts w:ascii="Courier New" w:hAnsi="Courier New" w:hint="default"/>
        <w:sz w:val="20"/>
      </w:rPr>
    </w:lvl>
    <w:lvl w:ilvl="2" w:tplc="B5948C8C" w:tentative="1">
      <w:start w:val="1"/>
      <w:numFmt w:val="bullet"/>
      <w:lvlText w:val=""/>
      <w:lvlJc w:val="left"/>
      <w:pPr>
        <w:tabs>
          <w:tab w:val="num" w:pos="2160"/>
        </w:tabs>
        <w:ind w:left="2160" w:hanging="360"/>
      </w:pPr>
      <w:rPr>
        <w:rFonts w:ascii="Wingdings" w:hAnsi="Wingdings" w:hint="default"/>
        <w:sz w:val="20"/>
      </w:rPr>
    </w:lvl>
    <w:lvl w:ilvl="3" w:tplc="69BCC7FC" w:tentative="1">
      <w:start w:val="1"/>
      <w:numFmt w:val="bullet"/>
      <w:lvlText w:val=""/>
      <w:lvlJc w:val="left"/>
      <w:pPr>
        <w:tabs>
          <w:tab w:val="num" w:pos="2880"/>
        </w:tabs>
        <w:ind w:left="2880" w:hanging="360"/>
      </w:pPr>
      <w:rPr>
        <w:rFonts w:ascii="Wingdings" w:hAnsi="Wingdings" w:hint="default"/>
        <w:sz w:val="20"/>
      </w:rPr>
    </w:lvl>
    <w:lvl w:ilvl="4" w:tplc="BEAAF45C" w:tentative="1">
      <w:start w:val="1"/>
      <w:numFmt w:val="bullet"/>
      <w:lvlText w:val=""/>
      <w:lvlJc w:val="left"/>
      <w:pPr>
        <w:tabs>
          <w:tab w:val="num" w:pos="3600"/>
        </w:tabs>
        <w:ind w:left="3600" w:hanging="360"/>
      </w:pPr>
      <w:rPr>
        <w:rFonts w:ascii="Wingdings" w:hAnsi="Wingdings" w:hint="default"/>
        <w:sz w:val="20"/>
      </w:rPr>
    </w:lvl>
    <w:lvl w:ilvl="5" w:tplc="EF3C75EA" w:tentative="1">
      <w:start w:val="1"/>
      <w:numFmt w:val="bullet"/>
      <w:lvlText w:val=""/>
      <w:lvlJc w:val="left"/>
      <w:pPr>
        <w:tabs>
          <w:tab w:val="num" w:pos="4320"/>
        </w:tabs>
        <w:ind w:left="4320" w:hanging="360"/>
      </w:pPr>
      <w:rPr>
        <w:rFonts w:ascii="Wingdings" w:hAnsi="Wingdings" w:hint="default"/>
        <w:sz w:val="20"/>
      </w:rPr>
    </w:lvl>
    <w:lvl w:ilvl="6" w:tplc="F7B442A4" w:tentative="1">
      <w:start w:val="1"/>
      <w:numFmt w:val="bullet"/>
      <w:lvlText w:val=""/>
      <w:lvlJc w:val="left"/>
      <w:pPr>
        <w:tabs>
          <w:tab w:val="num" w:pos="5040"/>
        </w:tabs>
        <w:ind w:left="5040" w:hanging="360"/>
      </w:pPr>
      <w:rPr>
        <w:rFonts w:ascii="Wingdings" w:hAnsi="Wingdings" w:hint="default"/>
        <w:sz w:val="20"/>
      </w:rPr>
    </w:lvl>
    <w:lvl w:ilvl="7" w:tplc="DFC8B440" w:tentative="1">
      <w:start w:val="1"/>
      <w:numFmt w:val="bullet"/>
      <w:lvlText w:val=""/>
      <w:lvlJc w:val="left"/>
      <w:pPr>
        <w:tabs>
          <w:tab w:val="num" w:pos="5760"/>
        </w:tabs>
        <w:ind w:left="5760" w:hanging="360"/>
      </w:pPr>
      <w:rPr>
        <w:rFonts w:ascii="Wingdings" w:hAnsi="Wingdings" w:hint="default"/>
        <w:sz w:val="20"/>
      </w:rPr>
    </w:lvl>
    <w:lvl w:ilvl="8" w:tplc="92F2BD06"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7C250D5"/>
    <w:multiLevelType w:val="hybridMultilevel"/>
    <w:tmpl w:val="7736E844"/>
    <w:lvl w:ilvl="0" w:tplc="1B70D718">
      <w:start w:val="1"/>
      <w:numFmt w:val="bullet"/>
      <w:lvlText w:val=""/>
      <w:lvlJc w:val="left"/>
      <w:pPr>
        <w:tabs>
          <w:tab w:val="num" w:pos="720"/>
        </w:tabs>
        <w:ind w:left="720" w:hanging="360"/>
      </w:pPr>
      <w:rPr>
        <w:rFonts w:ascii="Symbol" w:hAnsi="Symbol" w:hint="default"/>
        <w:sz w:val="20"/>
      </w:rPr>
    </w:lvl>
    <w:lvl w:ilvl="1" w:tplc="5834435A" w:tentative="1">
      <w:start w:val="1"/>
      <w:numFmt w:val="bullet"/>
      <w:lvlText w:val="o"/>
      <w:lvlJc w:val="left"/>
      <w:pPr>
        <w:tabs>
          <w:tab w:val="num" w:pos="1440"/>
        </w:tabs>
        <w:ind w:left="1440" w:hanging="360"/>
      </w:pPr>
      <w:rPr>
        <w:rFonts w:ascii="Courier New" w:hAnsi="Courier New" w:hint="default"/>
        <w:sz w:val="20"/>
      </w:rPr>
    </w:lvl>
    <w:lvl w:ilvl="2" w:tplc="2E7488EA" w:tentative="1">
      <w:start w:val="1"/>
      <w:numFmt w:val="bullet"/>
      <w:lvlText w:val=""/>
      <w:lvlJc w:val="left"/>
      <w:pPr>
        <w:tabs>
          <w:tab w:val="num" w:pos="2160"/>
        </w:tabs>
        <w:ind w:left="2160" w:hanging="360"/>
      </w:pPr>
      <w:rPr>
        <w:rFonts w:ascii="Wingdings" w:hAnsi="Wingdings" w:hint="default"/>
        <w:sz w:val="20"/>
      </w:rPr>
    </w:lvl>
    <w:lvl w:ilvl="3" w:tplc="D924CBA8" w:tentative="1">
      <w:start w:val="1"/>
      <w:numFmt w:val="bullet"/>
      <w:lvlText w:val=""/>
      <w:lvlJc w:val="left"/>
      <w:pPr>
        <w:tabs>
          <w:tab w:val="num" w:pos="2880"/>
        </w:tabs>
        <w:ind w:left="2880" w:hanging="360"/>
      </w:pPr>
      <w:rPr>
        <w:rFonts w:ascii="Wingdings" w:hAnsi="Wingdings" w:hint="default"/>
        <w:sz w:val="20"/>
      </w:rPr>
    </w:lvl>
    <w:lvl w:ilvl="4" w:tplc="749E33E0" w:tentative="1">
      <w:start w:val="1"/>
      <w:numFmt w:val="bullet"/>
      <w:lvlText w:val=""/>
      <w:lvlJc w:val="left"/>
      <w:pPr>
        <w:tabs>
          <w:tab w:val="num" w:pos="3600"/>
        </w:tabs>
        <w:ind w:left="3600" w:hanging="360"/>
      </w:pPr>
      <w:rPr>
        <w:rFonts w:ascii="Wingdings" w:hAnsi="Wingdings" w:hint="default"/>
        <w:sz w:val="20"/>
      </w:rPr>
    </w:lvl>
    <w:lvl w:ilvl="5" w:tplc="79227362" w:tentative="1">
      <w:start w:val="1"/>
      <w:numFmt w:val="bullet"/>
      <w:lvlText w:val=""/>
      <w:lvlJc w:val="left"/>
      <w:pPr>
        <w:tabs>
          <w:tab w:val="num" w:pos="4320"/>
        </w:tabs>
        <w:ind w:left="4320" w:hanging="360"/>
      </w:pPr>
      <w:rPr>
        <w:rFonts w:ascii="Wingdings" w:hAnsi="Wingdings" w:hint="default"/>
        <w:sz w:val="20"/>
      </w:rPr>
    </w:lvl>
    <w:lvl w:ilvl="6" w:tplc="14487828" w:tentative="1">
      <w:start w:val="1"/>
      <w:numFmt w:val="bullet"/>
      <w:lvlText w:val=""/>
      <w:lvlJc w:val="left"/>
      <w:pPr>
        <w:tabs>
          <w:tab w:val="num" w:pos="5040"/>
        </w:tabs>
        <w:ind w:left="5040" w:hanging="360"/>
      </w:pPr>
      <w:rPr>
        <w:rFonts w:ascii="Wingdings" w:hAnsi="Wingdings" w:hint="default"/>
        <w:sz w:val="20"/>
      </w:rPr>
    </w:lvl>
    <w:lvl w:ilvl="7" w:tplc="024A400E" w:tentative="1">
      <w:start w:val="1"/>
      <w:numFmt w:val="bullet"/>
      <w:lvlText w:val=""/>
      <w:lvlJc w:val="left"/>
      <w:pPr>
        <w:tabs>
          <w:tab w:val="num" w:pos="5760"/>
        </w:tabs>
        <w:ind w:left="5760" w:hanging="360"/>
      </w:pPr>
      <w:rPr>
        <w:rFonts w:ascii="Wingdings" w:hAnsi="Wingdings" w:hint="default"/>
        <w:sz w:val="20"/>
      </w:rPr>
    </w:lvl>
    <w:lvl w:ilvl="8" w:tplc="B12ECDA2"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BFD20C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3F7360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3FA60D4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44484C82"/>
    <w:multiLevelType w:val="hybridMultilevel"/>
    <w:tmpl w:val="99E432A6"/>
    <w:lvl w:ilvl="0" w:tplc="83ACF678">
      <w:start w:val="1"/>
      <w:numFmt w:val="bullet"/>
      <w:lvlText w:val=""/>
      <w:lvlJc w:val="left"/>
      <w:pPr>
        <w:tabs>
          <w:tab w:val="num" w:pos="720"/>
        </w:tabs>
        <w:ind w:left="720" w:hanging="360"/>
      </w:pPr>
      <w:rPr>
        <w:rFonts w:ascii="Symbol" w:hAnsi="Symbol" w:hint="default"/>
        <w:sz w:val="20"/>
      </w:rPr>
    </w:lvl>
    <w:lvl w:ilvl="1" w:tplc="F4DA0E94" w:tentative="1">
      <w:start w:val="1"/>
      <w:numFmt w:val="bullet"/>
      <w:lvlText w:val="o"/>
      <w:lvlJc w:val="left"/>
      <w:pPr>
        <w:tabs>
          <w:tab w:val="num" w:pos="1440"/>
        </w:tabs>
        <w:ind w:left="1440" w:hanging="360"/>
      </w:pPr>
      <w:rPr>
        <w:rFonts w:ascii="Courier New" w:hAnsi="Courier New" w:hint="default"/>
        <w:sz w:val="20"/>
      </w:rPr>
    </w:lvl>
    <w:lvl w:ilvl="2" w:tplc="BA1E9208" w:tentative="1">
      <w:start w:val="1"/>
      <w:numFmt w:val="bullet"/>
      <w:lvlText w:val=""/>
      <w:lvlJc w:val="left"/>
      <w:pPr>
        <w:tabs>
          <w:tab w:val="num" w:pos="2160"/>
        </w:tabs>
        <w:ind w:left="2160" w:hanging="360"/>
      </w:pPr>
      <w:rPr>
        <w:rFonts w:ascii="Wingdings" w:hAnsi="Wingdings" w:hint="default"/>
        <w:sz w:val="20"/>
      </w:rPr>
    </w:lvl>
    <w:lvl w:ilvl="3" w:tplc="B3681290" w:tentative="1">
      <w:start w:val="1"/>
      <w:numFmt w:val="bullet"/>
      <w:lvlText w:val=""/>
      <w:lvlJc w:val="left"/>
      <w:pPr>
        <w:tabs>
          <w:tab w:val="num" w:pos="2880"/>
        </w:tabs>
        <w:ind w:left="2880" w:hanging="360"/>
      </w:pPr>
      <w:rPr>
        <w:rFonts w:ascii="Wingdings" w:hAnsi="Wingdings" w:hint="default"/>
        <w:sz w:val="20"/>
      </w:rPr>
    </w:lvl>
    <w:lvl w:ilvl="4" w:tplc="A508AD5A" w:tentative="1">
      <w:start w:val="1"/>
      <w:numFmt w:val="bullet"/>
      <w:lvlText w:val=""/>
      <w:lvlJc w:val="left"/>
      <w:pPr>
        <w:tabs>
          <w:tab w:val="num" w:pos="3600"/>
        </w:tabs>
        <w:ind w:left="3600" w:hanging="360"/>
      </w:pPr>
      <w:rPr>
        <w:rFonts w:ascii="Wingdings" w:hAnsi="Wingdings" w:hint="default"/>
        <w:sz w:val="20"/>
      </w:rPr>
    </w:lvl>
    <w:lvl w:ilvl="5" w:tplc="E74265EA" w:tentative="1">
      <w:start w:val="1"/>
      <w:numFmt w:val="bullet"/>
      <w:lvlText w:val=""/>
      <w:lvlJc w:val="left"/>
      <w:pPr>
        <w:tabs>
          <w:tab w:val="num" w:pos="4320"/>
        </w:tabs>
        <w:ind w:left="4320" w:hanging="360"/>
      </w:pPr>
      <w:rPr>
        <w:rFonts w:ascii="Wingdings" w:hAnsi="Wingdings" w:hint="default"/>
        <w:sz w:val="20"/>
      </w:rPr>
    </w:lvl>
    <w:lvl w:ilvl="6" w:tplc="418CFDD0" w:tentative="1">
      <w:start w:val="1"/>
      <w:numFmt w:val="bullet"/>
      <w:lvlText w:val=""/>
      <w:lvlJc w:val="left"/>
      <w:pPr>
        <w:tabs>
          <w:tab w:val="num" w:pos="5040"/>
        </w:tabs>
        <w:ind w:left="5040" w:hanging="360"/>
      </w:pPr>
      <w:rPr>
        <w:rFonts w:ascii="Wingdings" w:hAnsi="Wingdings" w:hint="default"/>
        <w:sz w:val="20"/>
      </w:rPr>
    </w:lvl>
    <w:lvl w:ilvl="7" w:tplc="CB922BCE" w:tentative="1">
      <w:start w:val="1"/>
      <w:numFmt w:val="bullet"/>
      <w:lvlText w:val=""/>
      <w:lvlJc w:val="left"/>
      <w:pPr>
        <w:tabs>
          <w:tab w:val="num" w:pos="5760"/>
        </w:tabs>
        <w:ind w:left="5760" w:hanging="360"/>
      </w:pPr>
      <w:rPr>
        <w:rFonts w:ascii="Wingdings" w:hAnsi="Wingdings" w:hint="default"/>
        <w:sz w:val="20"/>
      </w:rPr>
    </w:lvl>
    <w:lvl w:ilvl="8" w:tplc="01AEAC16"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F2D3CBA"/>
    <w:multiLevelType w:val="hybridMultilevel"/>
    <w:tmpl w:val="E770663C"/>
    <w:lvl w:ilvl="0" w:tplc="C86A0B8A">
      <w:start w:val="1"/>
      <w:numFmt w:val="lowerLetter"/>
      <w:pStyle w:val="BL"/>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52641BF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15:restartNumberingAfterBreak="0">
    <w:nsid w:val="63185F2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6771357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15:restartNumberingAfterBreak="0">
    <w:nsid w:val="6B9A3EF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15:restartNumberingAfterBreak="0">
    <w:nsid w:val="6FF8517E"/>
    <w:multiLevelType w:val="hybridMultilevel"/>
    <w:tmpl w:val="0D000E3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79156C54"/>
    <w:multiLevelType w:val="hybridMultilevel"/>
    <w:tmpl w:val="EAFC6A0C"/>
    <w:lvl w:ilvl="0" w:tplc="8564E26C">
      <w:start w:val="1"/>
      <w:numFmt w:val="bullet"/>
      <w:pStyle w:val="B2"/>
      <w:lvlText w:val="-"/>
      <w:lvlJc w:val="left"/>
      <w:pPr>
        <w:tabs>
          <w:tab w:val="num" w:pos="1191"/>
        </w:tabs>
        <w:ind w:left="1191" w:hanging="454"/>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05CF3139"/>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 w16cid:durableId="2059083935">
    <w:abstractNumId w:val="10"/>
    <w:lvlOverride w:ilvl="0">
      <w:lvl w:ilvl="0">
        <w:start w:val="1"/>
        <w:numFmt w:val="bullet"/>
        <w:lvlText w:val=""/>
        <w:legacy w:legacy="1" w:legacySpace="0" w:legacyIndent="283"/>
        <w:lvlJc w:val="left"/>
        <w:pPr>
          <w:ind w:left="567" w:hanging="283"/>
        </w:pPr>
        <w:rPr>
          <w:rFonts w:ascii="Symbol" w:hAnsi="Symbol" w:hint="default"/>
        </w:rPr>
      </w:lvl>
    </w:lvlOverride>
  </w:num>
  <w:num w:numId="2" w16cid:durableId="951279786">
    <w:abstractNumId w:val="19"/>
  </w:num>
  <w:num w:numId="3" w16cid:durableId="1622414319">
    <w:abstractNumId w:val="35"/>
  </w:num>
  <w:num w:numId="4" w16cid:durableId="1017196468">
    <w:abstractNumId w:val="14"/>
  </w:num>
  <w:num w:numId="5" w16cid:durableId="1232302850">
    <w:abstractNumId w:val="21"/>
  </w:num>
  <w:num w:numId="6" w16cid:durableId="2135444093">
    <w:abstractNumId w:val="29"/>
  </w:num>
  <w:num w:numId="7" w16cid:durableId="1037849922">
    <w:abstractNumId w:val="10"/>
    <w:lvlOverride w:ilvl="0">
      <w:lvl w:ilvl="0">
        <w:numFmt w:val="bullet"/>
        <w:lvlText w:val=""/>
        <w:legacy w:legacy="1" w:legacySpace="0" w:legacyIndent="0"/>
        <w:lvlJc w:val="left"/>
        <w:rPr>
          <w:rFonts w:ascii="Symbol" w:hAnsi="Symbol" w:hint="default"/>
        </w:rPr>
      </w:lvl>
    </w:lvlOverride>
  </w:num>
  <w:num w:numId="8" w16cid:durableId="57634371">
    <w:abstractNumId w:val="2"/>
  </w:num>
  <w:num w:numId="9" w16cid:durableId="785007005">
    <w:abstractNumId w:val="1"/>
  </w:num>
  <w:num w:numId="10" w16cid:durableId="425854598">
    <w:abstractNumId w:val="0"/>
  </w:num>
  <w:num w:numId="11" w16cid:durableId="991326246">
    <w:abstractNumId w:val="28"/>
  </w:num>
  <w:num w:numId="12" w16cid:durableId="476995652">
    <w:abstractNumId w:val="24"/>
  </w:num>
  <w:num w:numId="13" w16cid:durableId="1872300816">
    <w:abstractNumId w:val="23"/>
  </w:num>
  <w:num w:numId="14" w16cid:durableId="119344673">
    <w:abstractNumId w:val="9"/>
  </w:num>
  <w:num w:numId="15" w16cid:durableId="1503886090">
    <w:abstractNumId w:val="7"/>
  </w:num>
  <w:num w:numId="16" w16cid:durableId="1468089330">
    <w:abstractNumId w:val="6"/>
  </w:num>
  <w:num w:numId="17" w16cid:durableId="1459180103">
    <w:abstractNumId w:val="5"/>
  </w:num>
  <w:num w:numId="18" w16cid:durableId="1899634868">
    <w:abstractNumId w:val="4"/>
  </w:num>
  <w:num w:numId="19" w16cid:durableId="1149590258">
    <w:abstractNumId w:val="8"/>
  </w:num>
  <w:num w:numId="20" w16cid:durableId="757756134">
    <w:abstractNumId w:val="3"/>
  </w:num>
  <w:num w:numId="21" w16cid:durableId="302128287">
    <w:abstractNumId w:val="18"/>
  </w:num>
  <w:num w:numId="22" w16cid:durableId="1005979705">
    <w:abstractNumId w:val="31"/>
  </w:num>
  <w:num w:numId="23" w16cid:durableId="1268541536">
    <w:abstractNumId w:val="26"/>
  </w:num>
  <w:num w:numId="24" w16cid:durableId="1286691731">
    <w:abstractNumId w:val="30"/>
  </w:num>
  <w:num w:numId="25" w16cid:durableId="2025589187">
    <w:abstractNumId w:val="17"/>
  </w:num>
  <w:num w:numId="26" w16cid:durableId="1487017627">
    <w:abstractNumId w:val="13"/>
  </w:num>
  <w:num w:numId="27" w16cid:durableId="92437924">
    <w:abstractNumId w:val="15"/>
  </w:num>
  <w:num w:numId="28" w16cid:durableId="1088574899">
    <w:abstractNumId w:val="27"/>
  </w:num>
  <w:num w:numId="29" w16cid:durableId="1474714352">
    <w:abstractNumId w:val="33"/>
  </w:num>
  <w:num w:numId="30" w16cid:durableId="1457141264">
    <w:abstractNumId w:val="22"/>
  </w:num>
  <w:num w:numId="31" w16cid:durableId="168719363">
    <w:abstractNumId w:val="12"/>
  </w:num>
  <w:num w:numId="32" w16cid:durableId="2073112460">
    <w:abstractNumId w:val="25"/>
  </w:num>
  <w:num w:numId="33" w16cid:durableId="35010678">
    <w:abstractNumId w:val="16"/>
  </w:num>
  <w:num w:numId="34" w16cid:durableId="724641336">
    <w:abstractNumId w:val="20"/>
  </w:num>
  <w:num w:numId="35" w16cid:durableId="1275206352">
    <w:abstractNumId w:val="32"/>
  </w:num>
  <w:num w:numId="36" w16cid:durableId="1707751012">
    <w:abstractNumId w:val="11"/>
  </w:num>
  <w:num w:numId="38">
    <w:abstractNumId w:val="36"/>
  </w:num>
  <w:num w:numId="37" w16cid:durableId="764033102">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doNotHyphenateCaps/>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numRestart w:val="eachSect"/>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418"/>
    <w:rsid w:val="0000384D"/>
    <w:rsid w:val="000565D9"/>
    <w:rsid w:val="00070988"/>
    <w:rsid w:val="00072C17"/>
    <w:rsid w:val="00084C42"/>
    <w:rsid w:val="00091EDB"/>
    <w:rsid w:val="000C1E0E"/>
    <w:rsid w:val="000C7C9A"/>
    <w:rsid w:val="0013447F"/>
    <w:rsid w:val="00134DF9"/>
    <w:rsid w:val="00145747"/>
    <w:rsid w:val="00147924"/>
    <w:rsid w:val="0015074B"/>
    <w:rsid w:val="00176535"/>
    <w:rsid w:val="001C5D2C"/>
    <w:rsid w:val="001E5F05"/>
    <w:rsid w:val="001E7509"/>
    <w:rsid w:val="001F2352"/>
    <w:rsid w:val="001F3880"/>
    <w:rsid w:val="00213CEE"/>
    <w:rsid w:val="002669AD"/>
    <w:rsid w:val="002C31BD"/>
    <w:rsid w:val="002F79DB"/>
    <w:rsid w:val="003167CA"/>
    <w:rsid w:val="00325EA3"/>
    <w:rsid w:val="0032723A"/>
    <w:rsid w:val="00345FB4"/>
    <w:rsid w:val="00356185"/>
    <w:rsid w:val="003752F8"/>
    <w:rsid w:val="00380A02"/>
    <w:rsid w:val="003B5B07"/>
    <w:rsid w:val="003D6202"/>
    <w:rsid w:val="00422E57"/>
    <w:rsid w:val="00424964"/>
    <w:rsid w:val="004327B9"/>
    <w:rsid w:val="00436775"/>
    <w:rsid w:val="0046449A"/>
    <w:rsid w:val="00483252"/>
    <w:rsid w:val="00485D72"/>
    <w:rsid w:val="00494756"/>
    <w:rsid w:val="004A1E38"/>
    <w:rsid w:val="004B19C7"/>
    <w:rsid w:val="004B21DC"/>
    <w:rsid w:val="004B2C68"/>
    <w:rsid w:val="00513AE8"/>
    <w:rsid w:val="00517B65"/>
    <w:rsid w:val="00523B6A"/>
    <w:rsid w:val="005453D4"/>
    <w:rsid w:val="00564D7A"/>
    <w:rsid w:val="0056624A"/>
    <w:rsid w:val="005726D2"/>
    <w:rsid w:val="0059055D"/>
    <w:rsid w:val="0059474F"/>
    <w:rsid w:val="00596098"/>
    <w:rsid w:val="005A5B49"/>
    <w:rsid w:val="005B6CFA"/>
    <w:rsid w:val="005D40E7"/>
    <w:rsid w:val="005E1047"/>
    <w:rsid w:val="005E77DD"/>
    <w:rsid w:val="005F5CD3"/>
    <w:rsid w:val="0061380D"/>
    <w:rsid w:val="00640591"/>
    <w:rsid w:val="00653A3B"/>
    <w:rsid w:val="00667EEB"/>
    <w:rsid w:val="00672201"/>
    <w:rsid w:val="00676800"/>
    <w:rsid w:val="006925C7"/>
    <w:rsid w:val="006A2494"/>
    <w:rsid w:val="006A339F"/>
    <w:rsid w:val="006B7B76"/>
    <w:rsid w:val="00703E81"/>
    <w:rsid w:val="00743F24"/>
    <w:rsid w:val="00745924"/>
    <w:rsid w:val="007462C1"/>
    <w:rsid w:val="00755B41"/>
    <w:rsid w:val="007577B0"/>
    <w:rsid w:val="00770308"/>
    <w:rsid w:val="00787554"/>
    <w:rsid w:val="007B55FC"/>
    <w:rsid w:val="007C2C07"/>
    <w:rsid w:val="007E501E"/>
    <w:rsid w:val="007E5980"/>
    <w:rsid w:val="00811C9B"/>
    <w:rsid w:val="0083170E"/>
    <w:rsid w:val="00855B78"/>
    <w:rsid w:val="00856BC2"/>
    <w:rsid w:val="00866A3B"/>
    <w:rsid w:val="00866A69"/>
    <w:rsid w:val="008849A4"/>
    <w:rsid w:val="008A74CA"/>
    <w:rsid w:val="00927ACF"/>
    <w:rsid w:val="00930B49"/>
    <w:rsid w:val="0094131F"/>
    <w:rsid w:val="009641CD"/>
    <w:rsid w:val="009709E5"/>
    <w:rsid w:val="00995BDD"/>
    <w:rsid w:val="009A0EC9"/>
    <w:rsid w:val="009E043E"/>
    <w:rsid w:val="009E19AF"/>
    <w:rsid w:val="009F2CD4"/>
    <w:rsid w:val="009F48C1"/>
    <w:rsid w:val="00A011D6"/>
    <w:rsid w:val="00A03D3B"/>
    <w:rsid w:val="00A1603D"/>
    <w:rsid w:val="00A200F0"/>
    <w:rsid w:val="00A249D9"/>
    <w:rsid w:val="00A6262E"/>
    <w:rsid w:val="00A629A4"/>
    <w:rsid w:val="00AA1091"/>
    <w:rsid w:val="00AC07F4"/>
    <w:rsid w:val="00AC6D30"/>
    <w:rsid w:val="00AE2D24"/>
    <w:rsid w:val="00B1314D"/>
    <w:rsid w:val="00B15AA7"/>
    <w:rsid w:val="00B2124E"/>
    <w:rsid w:val="00B359F5"/>
    <w:rsid w:val="00B553EE"/>
    <w:rsid w:val="00B6424A"/>
    <w:rsid w:val="00B73DE0"/>
    <w:rsid w:val="00BA6835"/>
    <w:rsid w:val="00BB4716"/>
    <w:rsid w:val="00BB56BD"/>
    <w:rsid w:val="00BB6418"/>
    <w:rsid w:val="00BC0A87"/>
    <w:rsid w:val="00BC33F7"/>
    <w:rsid w:val="00BD2C8E"/>
    <w:rsid w:val="00BE12DA"/>
    <w:rsid w:val="00BE1693"/>
    <w:rsid w:val="00BE3E6A"/>
    <w:rsid w:val="00BE40DE"/>
    <w:rsid w:val="00C03C0C"/>
    <w:rsid w:val="00C05E06"/>
    <w:rsid w:val="00C24F36"/>
    <w:rsid w:val="00C25BC9"/>
    <w:rsid w:val="00C40550"/>
    <w:rsid w:val="00C41B6F"/>
    <w:rsid w:val="00C62AE6"/>
    <w:rsid w:val="00C91709"/>
    <w:rsid w:val="00CA7E4A"/>
    <w:rsid w:val="00CD386D"/>
    <w:rsid w:val="00CE20F0"/>
    <w:rsid w:val="00CE407D"/>
    <w:rsid w:val="00CF6106"/>
    <w:rsid w:val="00D35D58"/>
    <w:rsid w:val="00D44988"/>
    <w:rsid w:val="00D53D31"/>
    <w:rsid w:val="00D631CF"/>
    <w:rsid w:val="00D706FA"/>
    <w:rsid w:val="00D7365C"/>
    <w:rsid w:val="00D7373D"/>
    <w:rsid w:val="00D778F4"/>
    <w:rsid w:val="00D822E3"/>
    <w:rsid w:val="00DD4BC8"/>
    <w:rsid w:val="00E05319"/>
    <w:rsid w:val="00E16F20"/>
    <w:rsid w:val="00E278AD"/>
    <w:rsid w:val="00E339B6"/>
    <w:rsid w:val="00E632F6"/>
    <w:rsid w:val="00E9502F"/>
    <w:rsid w:val="00E95952"/>
    <w:rsid w:val="00EA45D8"/>
    <w:rsid w:val="00EA530F"/>
    <w:rsid w:val="00EC4581"/>
    <w:rsid w:val="00ED3F92"/>
    <w:rsid w:val="00F12DD3"/>
    <w:rsid w:val="00F2529C"/>
    <w:rsid w:val="00F3693A"/>
    <w:rsid w:val="00F4236C"/>
    <w:rsid w:val="00F57D30"/>
    <w:rsid w:val="00F8258F"/>
    <w:rsid w:val="00F8730E"/>
    <w:rsid w:val="00F92B63"/>
    <w:rsid w:val="00FC17F5"/>
    <w:rsid w:val="00FD4016"/>
    <w:rsid w:val="00FF500A"/>
    <w:rsid w:val="00FF78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55CD509"/>
  <w15:chartTrackingRefBased/>
  <w15:docId w15:val="{7BA3A7E0-E7CB-436C-8857-924502A8A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9" w:uiPriority="39"/>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D386D"/>
    <w:pPr>
      <w:overflowPunct w:val="0"/>
      <w:autoSpaceDE w:val="0"/>
      <w:autoSpaceDN w:val="0"/>
      <w:adjustRightInd w:val="0"/>
      <w:spacing w:after="180"/>
      <w:textAlignment w:val="baseline"/>
    </w:pPr>
    <w:rPr>
      <w:lang w:eastAsia="en-US"/>
    </w:rPr>
  </w:style>
  <w:style w:type="paragraph" w:styleId="Heading1">
    <w:name w:val="heading 1"/>
    <w:next w:val="Normal"/>
    <w:qFormat/>
    <w:rsid w:val="00CD386D"/>
    <w:pPr>
      <w:keepNext/>
      <w:keepLines/>
      <w:pBdr>
        <w:top w:val="single" w:sz="12" w:space="3" w:color="auto"/>
      </w:pBdr>
      <w:overflowPunct w:val="0"/>
      <w:autoSpaceDE w:val="0"/>
      <w:autoSpaceDN w:val="0"/>
      <w:adjustRightInd w:val="0"/>
      <w:spacing w:before="240" w:after="180"/>
      <w:ind w:left="1134" w:hanging="1134"/>
      <w:textAlignment w:val="baseline"/>
      <w:outlineLvl w:val="0"/>
    </w:pPr>
    <w:rPr>
      <w:rFonts w:ascii="Arial" w:hAnsi="Arial"/>
      <w:sz w:val="36"/>
      <w:lang w:eastAsia="en-US"/>
    </w:rPr>
  </w:style>
  <w:style w:type="paragraph" w:styleId="Heading2">
    <w:name w:val="heading 2"/>
    <w:basedOn w:val="Heading1"/>
    <w:next w:val="Normal"/>
    <w:link w:val="Heading2Char"/>
    <w:qFormat/>
    <w:rsid w:val="00CD386D"/>
    <w:pPr>
      <w:pBdr>
        <w:top w:val="none" w:sz="0" w:space="0" w:color="auto"/>
      </w:pBdr>
      <w:spacing w:before="180"/>
      <w:outlineLvl w:val="1"/>
    </w:pPr>
    <w:rPr>
      <w:sz w:val="32"/>
    </w:rPr>
  </w:style>
  <w:style w:type="paragraph" w:styleId="Heading3">
    <w:name w:val="heading 3"/>
    <w:basedOn w:val="Heading2"/>
    <w:next w:val="Normal"/>
    <w:qFormat/>
    <w:rsid w:val="00CD386D"/>
    <w:pPr>
      <w:spacing w:before="120"/>
      <w:outlineLvl w:val="2"/>
    </w:pPr>
    <w:rPr>
      <w:sz w:val="28"/>
    </w:rPr>
  </w:style>
  <w:style w:type="paragraph" w:styleId="Heading4">
    <w:name w:val="heading 4"/>
    <w:basedOn w:val="Heading3"/>
    <w:next w:val="Normal"/>
    <w:qFormat/>
    <w:rsid w:val="00CD386D"/>
    <w:pPr>
      <w:ind w:left="1418" w:hanging="1418"/>
      <w:outlineLvl w:val="3"/>
    </w:pPr>
    <w:rPr>
      <w:sz w:val="24"/>
    </w:rPr>
  </w:style>
  <w:style w:type="paragraph" w:styleId="Heading5">
    <w:name w:val="heading 5"/>
    <w:basedOn w:val="Heading4"/>
    <w:next w:val="Normal"/>
    <w:qFormat/>
    <w:rsid w:val="00CD386D"/>
    <w:pPr>
      <w:ind w:left="1701" w:hanging="1701"/>
      <w:outlineLvl w:val="4"/>
    </w:pPr>
    <w:rPr>
      <w:sz w:val="22"/>
    </w:rPr>
  </w:style>
  <w:style w:type="paragraph" w:styleId="Heading6">
    <w:name w:val="heading 6"/>
    <w:basedOn w:val="H6"/>
    <w:next w:val="Normal"/>
    <w:qFormat/>
    <w:rsid w:val="00CD386D"/>
    <w:pPr>
      <w:outlineLvl w:val="5"/>
    </w:pPr>
  </w:style>
  <w:style w:type="paragraph" w:styleId="Heading7">
    <w:name w:val="heading 7"/>
    <w:basedOn w:val="H6"/>
    <w:next w:val="Normal"/>
    <w:qFormat/>
    <w:rsid w:val="00CD386D"/>
    <w:pPr>
      <w:outlineLvl w:val="6"/>
    </w:pPr>
  </w:style>
  <w:style w:type="paragraph" w:styleId="Heading8">
    <w:name w:val="heading 8"/>
    <w:basedOn w:val="Heading1"/>
    <w:next w:val="Normal"/>
    <w:qFormat/>
    <w:rsid w:val="00CD386D"/>
    <w:pPr>
      <w:ind w:left="0" w:firstLine="0"/>
      <w:outlineLvl w:val="7"/>
    </w:pPr>
  </w:style>
  <w:style w:type="paragraph" w:styleId="Heading9">
    <w:name w:val="heading 9"/>
    <w:basedOn w:val="Heading8"/>
    <w:next w:val="Normal"/>
    <w:qFormat/>
    <w:rsid w:val="00CD386D"/>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6">
    <w:name w:val="H6"/>
    <w:basedOn w:val="Heading5"/>
    <w:next w:val="Normal"/>
    <w:rsid w:val="00CD386D"/>
    <w:pPr>
      <w:ind w:left="1985" w:hanging="1985"/>
      <w:outlineLvl w:val="9"/>
    </w:pPr>
    <w:rPr>
      <w:sz w:val="20"/>
    </w:rPr>
  </w:style>
  <w:style w:type="paragraph" w:styleId="TOC9">
    <w:name w:val="toc 9"/>
    <w:basedOn w:val="TOC8"/>
    <w:uiPriority w:val="39"/>
    <w:rsid w:val="00CD386D"/>
    <w:pPr>
      <w:ind w:left="1418" w:hanging="1418"/>
    </w:pPr>
  </w:style>
  <w:style w:type="paragraph" w:styleId="TOC8">
    <w:name w:val="toc 8"/>
    <w:basedOn w:val="TOC1"/>
    <w:semiHidden/>
    <w:rsid w:val="00CD386D"/>
    <w:pPr>
      <w:spacing w:before="180"/>
      <w:ind w:left="2693" w:hanging="2693"/>
    </w:pPr>
    <w:rPr>
      <w:b/>
    </w:rPr>
  </w:style>
  <w:style w:type="paragraph" w:styleId="TOC1">
    <w:name w:val="toc 1"/>
    <w:uiPriority w:val="39"/>
    <w:rsid w:val="00CD386D"/>
    <w:pPr>
      <w:keepLines/>
      <w:widowControl w:val="0"/>
      <w:tabs>
        <w:tab w:val="right" w:leader="dot" w:pos="9639"/>
      </w:tabs>
      <w:overflowPunct w:val="0"/>
      <w:autoSpaceDE w:val="0"/>
      <w:autoSpaceDN w:val="0"/>
      <w:adjustRightInd w:val="0"/>
      <w:spacing w:before="120"/>
      <w:ind w:left="567" w:right="425" w:hanging="567"/>
      <w:textAlignment w:val="baseline"/>
    </w:pPr>
    <w:rPr>
      <w:noProof/>
      <w:sz w:val="22"/>
      <w:lang w:eastAsia="en-US"/>
    </w:rPr>
  </w:style>
  <w:style w:type="paragraph" w:customStyle="1" w:styleId="EQ">
    <w:name w:val="EQ"/>
    <w:basedOn w:val="Normal"/>
    <w:next w:val="Normal"/>
    <w:rsid w:val="00CD386D"/>
    <w:pPr>
      <w:keepLines/>
      <w:tabs>
        <w:tab w:val="center" w:pos="4536"/>
        <w:tab w:val="right" w:pos="9072"/>
      </w:tabs>
    </w:pPr>
    <w:rPr>
      <w:noProof/>
    </w:rPr>
  </w:style>
  <w:style w:type="character" w:customStyle="1" w:styleId="ZGSM">
    <w:name w:val="ZGSM"/>
    <w:rsid w:val="00CD386D"/>
  </w:style>
  <w:style w:type="paragraph" w:styleId="Header">
    <w:name w:val="header"/>
    <w:rsid w:val="00CD386D"/>
    <w:pPr>
      <w:widowControl w:val="0"/>
      <w:overflowPunct w:val="0"/>
      <w:autoSpaceDE w:val="0"/>
      <w:autoSpaceDN w:val="0"/>
      <w:adjustRightInd w:val="0"/>
      <w:textAlignment w:val="baseline"/>
    </w:pPr>
    <w:rPr>
      <w:rFonts w:ascii="Arial" w:hAnsi="Arial"/>
      <w:b/>
      <w:noProof/>
      <w:sz w:val="18"/>
      <w:lang w:eastAsia="en-US"/>
    </w:rPr>
  </w:style>
  <w:style w:type="paragraph" w:customStyle="1" w:styleId="ZD">
    <w:name w:val="ZD"/>
    <w:rsid w:val="00CD386D"/>
    <w:pPr>
      <w:framePr w:wrap="notBeside" w:vAnchor="page" w:hAnchor="margin" w:y="15764"/>
      <w:widowControl w:val="0"/>
      <w:overflowPunct w:val="0"/>
      <w:autoSpaceDE w:val="0"/>
      <w:autoSpaceDN w:val="0"/>
      <w:adjustRightInd w:val="0"/>
      <w:textAlignment w:val="baseline"/>
    </w:pPr>
    <w:rPr>
      <w:rFonts w:ascii="Arial" w:hAnsi="Arial"/>
      <w:noProof/>
      <w:sz w:val="32"/>
      <w:lang w:eastAsia="en-US"/>
    </w:rPr>
  </w:style>
  <w:style w:type="paragraph" w:styleId="TOC5">
    <w:name w:val="toc 5"/>
    <w:basedOn w:val="TOC4"/>
    <w:semiHidden/>
    <w:rsid w:val="00CD386D"/>
    <w:pPr>
      <w:ind w:left="1701" w:hanging="1701"/>
    </w:pPr>
  </w:style>
  <w:style w:type="paragraph" w:styleId="TOC4">
    <w:name w:val="toc 4"/>
    <w:basedOn w:val="TOC3"/>
    <w:semiHidden/>
    <w:rsid w:val="00CD386D"/>
    <w:pPr>
      <w:ind w:left="1418" w:hanging="1418"/>
    </w:pPr>
  </w:style>
  <w:style w:type="paragraph" w:styleId="TOC3">
    <w:name w:val="toc 3"/>
    <w:basedOn w:val="TOC2"/>
    <w:rsid w:val="00CD386D"/>
    <w:pPr>
      <w:ind w:left="1134" w:hanging="1134"/>
    </w:pPr>
  </w:style>
  <w:style w:type="paragraph" w:styleId="TOC2">
    <w:name w:val="toc 2"/>
    <w:basedOn w:val="TOC1"/>
    <w:uiPriority w:val="39"/>
    <w:rsid w:val="00CD386D"/>
    <w:pPr>
      <w:spacing w:before="0"/>
      <w:ind w:left="851" w:hanging="851"/>
    </w:pPr>
    <w:rPr>
      <w:sz w:val="20"/>
    </w:rPr>
  </w:style>
  <w:style w:type="paragraph" w:styleId="Index1">
    <w:name w:val="index 1"/>
    <w:basedOn w:val="Normal"/>
    <w:semiHidden/>
    <w:rsid w:val="00CD386D"/>
    <w:pPr>
      <w:keepLines/>
    </w:pPr>
  </w:style>
  <w:style w:type="paragraph" w:styleId="Index2">
    <w:name w:val="index 2"/>
    <w:basedOn w:val="Index1"/>
    <w:semiHidden/>
    <w:rsid w:val="00CD386D"/>
    <w:pPr>
      <w:ind w:left="284"/>
    </w:pPr>
  </w:style>
  <w:style w:type="paragraph" w:customStyle="1" w:styleId="TT">
    <w:name w:val="TT"/>
    <w:basedOn w:val="Heading1"/>
    <w:next w:val="Normal"/>
    <w:rsid w:val="00CD386D"/>
    <w:pPr>
      <w:outlineLvl w:val="9"/>
    </w:pPr>
  </w:style>
  <w:style w:type="paragraph" w:styleId="Footer">
    <w:name w:val="footer"/>
    <w:basedOn w:val="Header"/>
    <w:link w:val="FooterChar"/>
    <w:rsid w:val="00CD386D"/>
    <w:pPr>
      <w:jc w:val="center"/>
    </w:pPr>
    <w:rPr>
      <w:i/>
      <w:lang w:val="x-none"/>
    </w:rPr>
  </w:style>
  <w:style w:type="character" w:styleId="FootnoteReference">
    <w:name w:val="footnote reference"/>
    <w:semiHidden/>
    <w:rsid w:val="00CD386D"/>
    <w:rPr>
      <w:b/>
      <w:position w:val="6"/>
      <w:sz w:val="16"/>
    </w:rPr>
  </w:style>
  <w:style w:type="paragraph" w:styleId="FootnoteText">
    <w:name w:val="footnote text"/>
    <w:basedOn w:val="Normal"/>
    <w:semiHidden/>
    <w:rsid w:val="00CD386D"/>
    <w:pPr>
      <w:keepLines/>
      <w:ind w:left="454" w:hanging="454"/>
    </w:pPr>
    <w:rPr>
      <w:sz w:val="16"/>
    </w:rPr>
  </w:style>
  <w:style w:type="paragraph" w:customStyle="1" w:styleId="NF">
    <w:name w:val="NF"/>
    <w:basedOn w:val="NO"/>
    <w:rsid w:val="00CD386D"/>
    <w:pPr>
      <w:keepNext/>
      <w:spacing w:after="0"/>
    </w:pPr>
    <w:rPr>
      <w:rFonts w:ascii="Arial" w:hAnsi="Arial"/>
      <w:sz w:val="18"/>
    </w:rPr>
  </w:style>
  <w:style w:type="paragraph" w:customStyle="1" w:styleId="NO">
    <w:name w:val="NO"/>
    <w:basedOn w:val="Normal"/>
    <w:link w:val="NOChar"/>
    <w:rsid w:val="00CD386D"/>
    <w:pPr>
      <w:keepLines/>
      <w:ind w:left="1135" w:hanging="851"/>
    </w:pPr>
  </w:style>
  <w:style w:type="paragraph" w:customStyle="1" w:styleId="PL">
    <w:name w:val="PL"/>
    <w:rsid w:val="00CD386D"/>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overflowPunct w:val="0"/>
      <w:autoSpaceDE w:val="0"/>
      <w:autoSpaceDN w:val="0"/>
      <w:adjustRightInd w:val="0"/>
      <w:textAlignment w:val="baseline"/>
    </w:pPr>
    <w:rPr>
      <w:rFonts w:ascii="Courier New" w:hAnsi="Courier New"/>
      <w:noProof/>
      <w:sz w:val="16"/>
      <w:lang w:eastAsia="en-US"/>
    </w:rPr>
  </w:style>
  <w:style w:type="paragraph" w:customStyle="1" w:styleId="TAR">
    <w:name w:val="TAR"/>
    <w:basedOn w:val="TAL"/>
    <w:rsid w:val="00CD386D"/>
    <w:pPr>
      <w:jc w:val="right"/>
    </w:pPr>
  </w:style>
  <w:style w:type="paragraph" w:customStyle="1" w:styleId="TAL">
    <w:name w:val="TAL"/>
    <w:basedOn w:val="Normal"/>
    <w:rsid w:val="00CD386D"/>
    <w:pPr>
      <w:keepNext/>
      <w:keepLines/>
      <w:spacing w:after="0"/>
    </w:pPr>
    <w:rPr>
      <w:rFonts w:ascii="Arial" w:hAnsi="Arial"/>
      <w:sz w:val="18"/>
    </w:rPr>
  </w:style>
  <w:style w:type="paragraph" w:styleId="ListNumber2">
    <w:name w:val="List Number 2"/>
    <w:basedOn w:val="ListNumber"/>
    <w:rsid w:val="00CD386D"/>
    <w:pPr>
      <w:ind w:left="851"/>
    </w:pPr>
  </w:style>
  <w:style w:type="paragraph" w:styleId="ListNumber">
    <w:name w:val="List Number"/>
    <w:basedOn w:val="List"/>
    <w:rsid w:val="00CD386D"/>
  </w:style>
  <w:style w:type="paragraph" w:styleId="List">
    <w:name w:val="List"/>
    <w:basedOn w:val="Normal"/>
    <w:rsid w:val="00CD386D"/>
    <w:pPr>
      <w:ind w:left="568" w:hanging="284"/>
    </w:pPr>
  </w:style>
  <w:style w:type="paragraph" w:customStyle="1" w:styleId="TAH">
    <w:name w:val="TAH"/>
    <w:basedOn w:val="TAC"/>
    <w:rsid w:val="00CD386D"/>
    <w:rPr>
      <w:b/>
    </w:rPr>
  </w:style>
  <w:style w:type="paragraph" w:customStyle="1" w:styleId="TAC">
    <w:name w:val="TAC"/>
    <w:basedOn w:val="TAL"/>
    <w:rsid w:val="00CD386D"/>
    <w:pPr>
      <w:jc w:val="center"/>
    </w:pPr>
  </w:style>
  <w:style w:type="paragraph" w:customStyle="1" w:styleId="LD">
    <w:name w:val="LD"/>
    <w:rsid w:val="00CD386D"/>
    <w:pPr>
      <w:keepNext/>
      <w:keepLines/>
      <w:overflowPunct w:val="0"/>
      <w:autoSpaceDE w:val="0"/>
      <w:autoSpaceDN w:val="0"/>
      <w:adjustRightInd w:val="0"/>
      <w:spacing w:line="180" w:lineRule="exact"/>
      <w:textAlignment w:val="baseline"/>
    </w:pPr>
    <w:rPr>
      <w:rFonts w:ascii="Courier New" w:hAnsi="Courier New"/>
      <w:noProof/>
      <w:lang w:eastAsia="en-US"/>
    </w:rPr>
  </w:style>
  <w:style w:type="paragraph" w:customStyle="1" w:styleId="EX">
    <w:name w:val="EX"/>
    <w:basedOn w:val="Normal"/>
    <w:rsid w:val="00CD386D"/>
    <w:pPr>
      <w:keepLines/>
      <w:ind w:left="1702" w:hanging="1418"/>
    </w:pPr>
  </w:style>
  <w:style w:type="paragraph" w:customStyle="1" w:styleId="FP">
    <w:name w:val="FP"/>
    <w:basedOn w:val="Normal"/>
    <w:rsid w:val="00CD386D"/>
    <w:pPr>
      <w:spacing w:after="0"/>
    </w:pPr>
  </w:style>
  <w:style w:type="paragraph" w:customStyle="1" w:styleId="NW">
    <w:name w:val="NW"/>
    <w:basedOn w:val="NO"/>
    <w:rsid w:val="00CD386D"/>
    <w:pPr>
      <w:spacing w:after="0"/>
    </w:pPr>
  </w:style>
  <w:style w:type="paragraph" w:customStyle="1" w:styleId="EW">
    <w:name w:val="EW"/>
    <w:basedOn w:val="EX"/>
    <w:rsid w:val="00CD386D"/>
    <w:pPr>
      <w:spacing w:after="0"/>
    </w:pPr>
  </w:style>
  <w:style w:type="paragraph" w:customStyle="1" w:styleId="B10">
    <w:name w:val="B1"/>
    <w:basedOn w:val="List"/>
    <w:rsid w:val="00CD386D"/>
    <w:pPr>
      <w:ind w:left="738" w:hanging="454"/>
    </w:pPr>
  </w:style>
  <w:style w:type="paragraph" w:styleId="TOC6">
    <w:name w:val="toc 6"/>
    <w:basedOn w:val="TOC5"/>
    <w:next w:val="Normal"/>
    <w:semiHidden/>
    <w:rsid w:val="00CD386D"/>
    <w:pPr>
      <w:ind w:left="1985" w:hanging="1985"/>
    </w:pPr>
  </w:style>
  <w:style w:type="paragraph" w:styleId="TOC7">
    <w:name w:val="toc 7"/>
    <w:basedOn w:val="TOC6"/>
    <w:next w:val="Normal"/>
    <w:semiHidden/>
    <w:rsid w:val="00CD386D"/>
    <w:pPr>
      <w:ind w:left="2268" w:hanging="2268"/>
    </w:pPr>
  </w:style>
  <w:style w:type="paragraph" w:styleId="ListBullet2">
    <w:name w:val="List Bullet 2"/>
    <w:basedOn w:val="ListBullet"/>
    <w:rsid w:val="00CD386D"/>
    <w:pPr>
      <w:ind w:left="851"/>
    </w:pPr>
  </w:style>
  <w:style w:type="paragraph" w:styleId="ListBullet">
    <w:name w:val="List Bullet"/>
    <w:basedOn w:val="List"/>
    <w:rsid w:val="00CD386D"/>
  </w:style>
  <w:style w:type="paragraph" w:customStyle="1" w:styleId="EditorsNote">
    <w:name w:val="Editor's Note"/>
    <w:basedOn w:val="NO"/>
    <w:rsid w:val="00CD386D"/>
    <w:rPr>
      <w:color w:val="FF0000"/>
    </w:rPr>
  </w:style>
  <w:style w:type="paragraph" w:customStyle="1" w:styleId="TH">
    <w:name w:val="TH"/>
    <w:basedOn w:val="FL"/>
    <w:next w:val="FL"/>
    <w:rsid w:val="00CD386D"/>
  </w:style>
  <w:style w:type="paragraph" w:customStyle="1" w:styleId="ZA">
    <w:name w:val="ZA"/>
    <w:rsid w:val="00CD386D"/>
    <w:pPr>
      <w:framePr w:w="10206" w:h="794" w:hRule="exact" w:wrap="notBeside" w:vAnchor="page" w:hAnchor="margin" w:y="1135"/>
      <w:widowControl w:val="0"/>
      <w:pBdr>
        <w:bottom w:val="single" w:sz="12" w:space="1" w:color="auto"/>
      </w:pBdr>
      <w:overflowPunct w:val="0"/>
      <w:autoSpaceDE w:val="0"/>
      <w:autoSpaceDN w:val="0"/>
      <w:adjustRightInd w:val="0"/>
      <w:jc w:val="right"/>
      <w:textAlignment w:val="baseline"/>
    </w:pPr>
    <w:rPr>
      <w:rFonts w:ascii="Arial" w:hAnsi="Arial"/>
      <w:noProof/>
      <w:sz w:val="40"/>
      <w:lang w:eastAsia="en-US"/>
    </w:rPr>
  </w:style>
  <w:style w:type="paragraph" w:customStyle="1" w:styleId="ZB">
    <w:name w:val="ZB"/>
    <w:rsid w:val="00CD386D"/>
    <w:pPr>
      <w:framePr w:w="10206" w:h="284" w:hRule="exact" w:wrap="notBeside" w:vAnchor="page" w:hAnchor="margin" w:y="1986"/>
      <w:widowControl w:val="0"/>
      <w:overflowPunct w:val="0"/>
      <w:autoSpaceDE w:val="0"/>
      <w:autoSpaceDN w:val="0"/>
      <w:adjustRightInd w:val="0"/>
      <w:ind w:right="28"/>
      <w:jc w:val="right"/>
      <w:textAlignment w:val="baseline"/>
    </w:pPr>
    <w:rPr>
      <w:rFonts w:ascii="Arial" w:hAnsi="Arial"/>
      <w:i/>
      <w:noProof/>
      <w:lang w:eastAsia="en-US"/>
    </w:rPr>
  </w:style>
  <w:style w:type="paragraph" w:customStyle="1" w:styleId="ZT">
    <w:name w:val="ZT"/>
    <w:rsid w:val="00CD386D"/>
    <w:pPr>
      <w:framePr w:wrap="notBeside" w:hAnchor="margin" w:yAlign="center"/>
      <w:widowControl w:val="0"/>
      <w:overflowPunct w:val="0"/>
      <w:autoSpaceDE w:val="0"/>
      <w:autoSpaceDN w:val="0"/>
      <w:adjustRightInd w:val="0"/>
      <w:spacing w:line="240" w:lineRule="atLeast"/>
      <w:jc w:val="right"/>
      <w:textAlignment w:val="baseline"/>
    </w:pPr>
    <w:rPr>
      <w:rFonts w:ascii="Arial" w:hAnsi="Arial"/>
      <w:b/>
      <w:sz w:val="34"/>
      <w:lang w:eastAsia="en-US"/>
    </w:rPr>
  </w:style>
  <w:style w:type="paragraph" w:customStyle="1" w:styleId="ZU">
    <w:name w:val="ZU"/>
    <w:rsid w:val="00CD386D"/>
    <w:pPr>
      <w:framePr w:w="10206" w:wrap="notBeside" w:vAnchor="page" w:hAnchor="margin" w:y="6238"/>
      <w:widowControl w:val="0"/>
      <w:pBdr>
        <w:top w:val="single" w:sz="12" w:space="1" w:color="auto"/>
      </w:pBdr>
      <w:overflowPunct w:val="0"/>
      <w:autoSpaceDE w:val="0"/>
      <w:autoSpaceDN w:val="0"/>
      <w:adjustRightInd w:val="0"/>
      <w:jc w:val="right"/>
      <w:textAlignment w:val="baseline"/>
    </w:pPr>
    <w:rPr>
      <w:rFonts w:ascii="Arial" w:hAnsi="Arial"/>
      <w:noProof/>
      <w:lang w:eastAsia="en-US"/>
    </w:rPr>
  </w:style>
  <w:style w:type="paragraph" w:customStyle="1" w:styleId="TAN">
    <w:name w:val="TAN"/>
    <w:basedOn w:val="TAL"/>
    <w:rsid w:val="00CD386D"/>
    <w:pPr>
      <w:ind w:left="851" w:hanging="851"/>
    </w:pPr>
  </w:style>
  <w:style w:type="paragraph" w:customStyle="1" w:styleId="ZH">
    <w:name w:val="ZH"/>
    <w:rsid w:val="00CD386D"/>
    <w:pPr>
      <w:framePr w:wrap="notBeside" w:vAnchor="page" w:hAnchor="margin" w:xAlign="center" w:y="6805"/>
      <w:widowControl w:val="0"/>
      <w:overflowPunct w:val="0"/>
      <w:autoSpaceDE w:val="0"/>
      <w:autoSpaceDN w:val="0"/>
      <w:adjustRightInd w:val="0"/>
      <w:textAlignment w:val="baseline"/>
    </w:pPr>
    <w:rPr>
      <w:rFonts w:ascii="Arial" w:hAnsi="Arial"/>
      <w:noProof/>
      <w:lang w:eastAsia="en-US"/>
    </w:rPr>
  </w:style>
  <w:style w:type="paragraph" w:customStyle="1" w:styleId="TF">
    <w:name w:val="TF"/>
    <w:basedOn w:val="FL"/>
    <w:rsid w:val="00CD386D"/>
    <w:pPr>
      <w:keepNext w:val="0"/>
      <w:spacing w:before="0" w:after="240"/>
    </w:pPr>
  </w:style>
  <w:style w:type="paragraph" w:customStyle="1" w:styleId="ZG">
    <w:name w:val="ZG"/>
    <w:rsid w:val="00CD386D"/>
    <w:pPr>
      <w:framePr w:wrap="notBeside" w:vAnchor="page" w:hAnchor="margin" w:xAlign="right" w:y="6805"/>
      <w:widowControl w:val="0"/>
      <w:overflowPunct w:val="0"/>
      <w:autoSpaceDE w:val="0"/>
      <w:autoSpaceDN w:val="0"/>
      <w:adjustRightInd w:val="0"/>
      <w:jc w:val="right"/>
      <w:textAlignment w:val="baseline"/>
    </w:pPr>
    <w:rPr>
      <w:rFonts w:ascii="Arial" w:hAnsi="Arial"/>
      <w:noProof/>
      <w:lang w:eastAsia="en-US"/>
    </w:rPr>
  </w:style>
  <w:style w:type="paragraph" w:styleId="ListBullet3">
    <w:name w:val="List Bullet 3"/>
    <w:basedOn w:val="ListBullet2"/>
    <w:rsid w:val="00CD386D"/>
    <w:pPr>
      <w:ind w:left="1135"/>
    </w:pPr>
  </w:style>
  <w:style w:type="paragraph" w:styleId="List2">
    <w:name w:val="List 2"/>
    <w:basedOn w:val="List"/>
    <w:rsid w:val="00CD386D"/>
    <w:pPr>
      <w:ind w:left="851"/>
    </w:pPr>
  </w:style>
  <w:style w:type="paragraph" w:styleId="List3">
    <w:name w:val="List 3"/>
    <w:basedOn w:val="List2"/>
    <w:rsid w:val="00CD386D"/>
    <w:pPr>
      <w:ind w:left="1135"/>
    </w:pPr>
  </w:style>
  <w:style w:type="paragraph" w:styleId="List4">
    <w:name w:val="List 4"/>
    <w:basedOn w:val="List3"/>
    <w:rsid w:val="00CD386D"/>
    <w:pPr>
      <w:ind w:left="1418"/>
    </w:pPr>
  </w:style>
  <w:style w:type="paragraph" w:styleId="List5">
    <w:name w:val="List 5"/>
    <w:basedOn w:val="List4"/>
    <w:rsid w:val="00CD386D"/>
    <w:pPr>
      <w:ind w:left="1702"/>
    </w:pPr>
  </w:style>
  <w:style w:type="paragraph" w:styleId="ListBullet4">
    <w:name w:val="List Bullet 4"/>
    <w:basedOn w:val="ListBullet3"/>
    <w:rsid w:val="00CD386D"/>
    <w:pPr>
      <w:ind w:left="1418"/>
    </w:pPr>
  </w:style>
  <w:style w:type="paragraph" w:styleId="ListBullet5">
    <w:name w:val="List Bullet 5"/>
    <w:basedOn w:val="ListBullet4"/>
    <w:rsid w:val="00CD386D"/>
    <w:pPr>
      <w:ind w:left="1702"/>
    </w:pPr>
  </w:style>
  <w:style w:type="paragraph" w:customStyle="1" w:styleId="B20">
    <w:name w:val="B2"/>
    <w:basedOn w:val="List2"/>
    <w:rsid w:val="00CD386D"/>
    <w:pPr>
      <w:ind w:left="1191" w:hanging="454"/>
    </w:pPr>
  </w:style>
  <w:style w:type="paragraph" w:customStyle="1" w:styleId="B30">
    <w:name w:val="B3"/>
    <w:basedOn w:val="List3"/>
    <w:rsid w:val="00CD386D"/>
    <w:pPr>
      <w:ind w:left="1645" w:hanging="454"/>
    </w:pPr>
  </w:style>
  <w:style w:type="paragraph" w:customStyle="1" w:styleId="B4">
    <w:name w:val="B4"/>
    <w:basedOn w:val="List4"/>
    <w:rsid w:val="00CD386D"/>
    <w:pPr>
      <w:ind w:left="2098" w:hanging="454"/>
    </w:pPr>
  </w:style>
  <w:style w:type="paragraph" w:customStyle="1" w:styleId="B5">
    <w:name w:val="B5"/>
    <w:basedOn w:val="List5"/>
    <w:rsid w:val="00CD386D"/>
    <w:pPr>
      <w:ind w:left="2552" w:hanging="454"/>
    </w:pPr>
  </w:style>
  <w:style w:type="paragraph" w:customStyle="1" w:styleId="ZTD">
    <w:name w:val="ZTD"/>
    <w:basedOn w:val="ZB"/>
    <w:rsid w:val="00CD386D"/>
    <w:pPr>
      <w:framePr w:hRule="auto" w:wrap="notBeside" w:y="852"/>
    </w:pPr>
    <w:rPr>
      <w:i w:val="0"/>
      <w:sz w:val="40"/>
    </w:rPr>
  </w:style>
  <w:style w:type="paragraph" w:customStyle="1" w:styleId="ZV">
    <w:name w:val="ZV"/>
    <w:basedOn w:val="ZU"/>
    <w:rsid w:val="00CD386D"/>
    <w:pPr>
      <w:framePr w:wrap="notBeside" w:y="16161"/>
    </w:pPr>
  </w:style>
  <w:style w:type="paragraph" w:styleId="IndexHeading">
    <w:name w:val="index heading"/>
    <w:basedOn w:val="Normal"/>
    <w:next w:val="Normal"/>
    <w:semiHidden/>
    <w:pPr>
      <w:pBdr>
        <w:top w:val="single" w:sz="12" w:space="0" w:color="auto"/>
      </w:pBdr>
      <w:spacing w:before="360" w:after="240"/>
    </w:pPr>
    <w:rPr>
      <w:b/>
      <w:i/>
      <w:sz w:val="26"/>
    </w:rPr>
  </w:style>
  <w:style w:type="character" w:customStyle="1" w:styleId="Guidance">
    <w:name w:val="Guidance"/>
    <w:rPr>
      <w:i/>
      <w:color w:val="0000FF"/>
      <w:sz w:val="20"/>
    </w:rPr>
  </w:style>
  <w:style w:type="paragraph" w:customStyle="1" w:styleId="I1">
    <w:name w:val="I1"/>
    <w:basedOn w:val="List"/>
  </w:style>
  <w:style w:type="paragraph" w:customStyle="1" w:styleId="I2">
    <w:name w:val="I2"/>
    <w:basedOn w:val="List2"/>
  </w:style>
  <w:style w:type="paragraph" w:customStyle="1" w:styleId="I3">
    <w:name w:val="I3"/>
    <w:basedOn w:val="List3"/>
  </w:style>
  <w:style w:type="paragraph" w:customStyle="1" w:styleId="IB3">
    <w:name w:val="IB3"/>
    <w:basedOn w:val="Normal"/>
    <w:pPr>
      <w:tabs>
        <w:tab w:val="left" w:pos="851"/>
        <w:tab w:val="num" w:pos="1644"/>
      </w:tabs>
      <w:ind w:left="851" w:hanging="567"/>
    </w:pPr>
  </w:style>
  <w:style w:type="paragraph" w:customStyle="1" w:styleId="IB1">
    <w:name w:val="IB1"/>
    <w:basedOn w:val="Normal"/>
    <w:pPr>
      <w:tabs>
        <w:tab w:val="left" w:pos="284"/>
        <w:tab w:val="num" w:pos="737"/>
      </w:tabs>
      <w:ind w:left="737" w:hanging="453"/>
    </w:pPr>
  </w:style>
  <w:style w:type="paragraph" w:customStyle="1" w:styleId="IB2">
    <w:name w:val="IB2"/>
    <w:basedOn w:val="Normal"/>
    <w:pPr>
      <w:tabs>
        <w:tab w:val="left" w:pos="567"/>
        <w:tab w:val="num" w:pos="1191"/>
      </w:tabs>
      <w:ind w:left="568" w:hanging="284"/>
    </w:pPr>
  </w:style>
  <w:style w:type="paragraph" w:customStyle="1" w:styleId="IBN">
    <w:name w:val="IBN"/>
    <w:basedOn w:val="Normal"/>
    <w:pPr>
      <w:tabs>
        <w:tab w:val="left" w:pos="567"/>
        <w:tab w:val="num" w:pos="737"/>
      </w:tabs>
      <w:ind w:left="568" w:hanging="284"/>
    </w:pPr>
  </w:style>
  <w:style w:type="paragraph" w:customStyle="1" w:styleId="IBL">
    <w:name w:val="IBL"/>
    <w:basedOn w:val="Normal"/>
    <w:pPr>
      <w:tabs>
        <w:tab w:val="left" w:pos="284"/>
        <w:tab w:val="num" w:pos="737"/>
      </w:tabs>
      <w:ind w:left="737" w:hanging="453"/>
    </w:pPr>
  </w:style>
  <w:style w:type="character" w:styleId="Hyperlink">
    <w:name w:val="Hyperlink"/>
    <w:rPr>
      <w:color w:val="0000FF"/>
      <w:u w:val="single"/>
    </w:rPr>
  </w:style>
  <w:style w:type="character" w:styleId="FollowedHyperlink">
    <w:name w:val="FollowedHyperlink"/>
    <w:rPr>
      <w:color w:val="800080"/>
      <w:u w:val="single"/>
    </w:rPr>
  </w:style>
  <w:style w:type="paragraph" w:customStyle="1" w:styleId="B3">
    <w:name w:val="B3+"/>
    <w:basedOn w:val="B30"/>
    <w:rsid w:val="00CD386D"/>
    <w:pPr>
      <w:numPr>
        <w:numId w:val="4"/>
      </w:numPr>
      <w:tabs>
        <w:tab w:val="left" w:pos="1134"/>
      </w:tabs>
    </w:pPr>
  </w:style>
  <w:style w:type="paragraph" w:customStyle="1" w:styleId="B1">
    <w:name w:val="B1+"/>
    <w:basedOn w:val="B10"/>
    <w:rsid w:val="00CD386D"/>
    <w:pPr>
      <w:numPr>
        <w:numId w:val="2"/>
      </w:numPr>
    </w:pPr>
  </w:style>
  <w:style w:type="paragraph" w:customStyle="1" w:styleId="B2">
    <w:name w:val="B2+"/>
    <w:basedOn w:val="B20"/>
    <w:rsid w:val="00CD386D"/>
    <w:pPr>
      <w:numPr>
        <w:numId w:val="3"/>
      </w:numPr>
    </w:pPr>
  </w:style>
  <w:style w:type="paragraph" w:customStyle="1" w:styleId="BL">
    <w:name w:val="BL"/>
    <w:basedOn w:val="Normal"/>
    <w:rsid w:val="00CD386D"/>
    <w:pPr>
      <w:numPr>
        <w:numId w:val="6"/>
      </w:numPr>
      <w:tabs>
        <w:tab w:val="left" w:pos="851"/>
      </w:tabs>
    </w:pPr>
  </w:style>
  <w:style w:type="paragraph" w:customStyle="1" w:styleId="BN">
    <w:name w:val="BN"/>
    <w:basedOn w:val="Normal"/>
    <w:rsid w:val="00CD386D"/>
    <w:pPr>
      <w:numPr>
        <w:numId w:val="5"/>
      </w:numPr>
    </w:pPr>
  </w:style>
  <w:style w:type="paragraph" w:styleId="BodyText">
    <w:name w:val="Body Text"/>
    <w:basedOn w:val="Normal"/>
    <w:pPr>
      <w:keepNext/>
      <w:spacing w:after="140"/>
    </w:p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szCs w:val="16"/>
    </w:rPr>
  </w:style>
  <w:style w:type="paragraph" w:styleId="BodyTextFirstIndent">
    <w:name w:val="Body Text First Indent"/>
    <w:basedOn w:val="BodyText"/>
    <w:pPr>
      <w:keepNext w:val="0"/>
      <w:spacing w:after="120"/>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szCs w:val="16"/>
    </w:rPr>
  </w:style>
  <w:style w:type="paragraph" w:styleId="Caption">
    <w:name w:val="caption"/>
    <w:basedOn w:val="Normal"/>
    <w:next w:val="Normal"/>
    <w:qFormat/>
    <w:pPr>
      <w:spacing w:before="120" w:after="120"/>
    </w:pPr>
    <w:rPr>
      <w:b/>
      <w:bCs/>
    </w:rPr>
  </w:style>
  <w:style w:type="paragraph" w:styleId="Closing">
    <w:name w:val="Closing"/>
    <w:basedOn w:val="Normal"/>
    <w:pPr>
      <w:ind w:left="4252"/>
    </w:pPr>
  </w:style>
  <w:style w:type="character" w:styleId="CommentReference">
    <w:name w:val="annotation reference"/>
    <w:semiHidden/>
    <w:rPr>
      <w:sz w:val="16"/>
      <w:szCs w:val="16"/>
    </w:rPr>
  </w:style>
  <w:style w:type="paragraph" w:styleId="CommentText">
    <w:name w:val="annotation text"/>
    <w:basedOn w:val="Normal"/>
    <w:semiHidden/>
  </w:style>
  <w:style w:type="paragraph" w:styleId="Date">
    <w:name w:val="Date"/>
    <w:basedOn w:val="Normal"/>
    <w:next w:val="Normal"/>
  </w:style>
  <w:style w:type="paragraph" w:styleId="DocumentMap">
    <w:name w:val="Document Map"/>
    <w:basedOn w:val="Normal"/>
    <w:semiHidden/>
    <w:pPr>
      <w:shd w:val="clear" w:color="auto" w:fill="000080"/>
    </w:pPr>
    <w:rPr>
      <w:rFonts w:ascii="Tahoma" w:hAnsi="Tahoma" w:cs="Tahoma"/>
    </w:rPr>
  </w:style>
  <w:style w:type="paragraph" w:styleId="E-mailSignature">
    <w:name w:val="E-mail Signature"/>
    <w:basedOn w:val="Normal"/>
  </w:style>
  <w:style w:type="character" w:styleId="Emphasis">
    <w:name w:val="Emphasis"/>
    <w:qFormat/>
    <w:rPr>
      <w:i/>
      <w:iCs/>
    </w:rPr>
  </w:style>
  <w:style w:type="character" w:styleId="EndnoteReference">
    <w:name w:val="endnote reference"/>
    <w:semiHidden/>
    <w:rPr>
      <w:vertAlign w:val="superscript"/>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cs="Arial"/>
      <w:sz w:val="24"/>
      <w:szCs w:val="24"/>
    </w:rPr>
  </w:style>
  <w:style w:type="paragraph" w:styleId="EnvelopeReturn">
    <w:name w:val="envelope return"/>
    <w:basedOn w:val="Normal"/>
    <w:rPr>
      <w:rFonts w:ascii="Arial" w:hAnsi="Arial" w:cs="Arial"/>
    </w:rPr>
  </w:style>
  <w:style w:type="character" w:styleId="HTMLAcronym">
    <w:name w:val="HTML Acronym"/>
    <w:basedOn w:val="DefaultParagraphFont"/>
  </w:style>
  <w:style w:type="paragraph" w:styleId="HTMLAddress">
    <w:name w:val="HTML Address"/>
    <w:basedOn w:val="Normal"/>
    <w:rPr>
      <w:i/>
      <w:iCs/>
    </w:rPr>
  </w:style>
  <w:style w:type="character" w:styleId="HTMLCite">
    <w:name w:val="HTML Cite"/>
    <w:rPr>
      <w:i/>
      <w:iCs/>
    </w:rPr>
  </w:style>
  <w:style w:type="character" w:styleId="HTMLCode">
    <w:name w:val="HTML Code"/>
    <w:rPr>
      <w:rFonts w:ascii="Courier New" w:hAnsi="Courier New"/>
      <w:sz w:val="20"/>
      <w:szCs w:val="20"/>
    </w:rPr>
  </w:style>
  <w:style w:type="character" w:styleId="HTMLDefinition">
    <w:name w:val="HTML Definition"/>
    <w:rPr>
      <w:i/>
      <w:iCs/>
    </w:rPr>
  </w:style>
  <w:style w:type="character" w:styleId="HTMLKeyboard">
    <w:name w:val="HTML Keyboard"/>
    <w:rPr>
      <w:rFonts w:ascii="Courier New" w:hAnsi="Courier New"/>
      <w:sz w:val="20"/>
      <w:szCs w:val="20"/>
    </w:rPr>
  </w:style>
  <w:style w:type="paragraph" w:styleId="HTMLPreformatted">
    <w:name w:val="HTML Preformatted"/>
    <w:basedOn w:val="Normal"/>
    <w:rPr>
      <w:rFonts w:ascii="Courier New" w:hAnsi="Courier New" w:cs="Courier New"/>
    </w:rPr>
  </w:style>
  <w:style w:type="character" w:styleId="HTMLSample">
    <w:name w:val="HTML Sample"/>
    <w:rPr>
      <w:rFonts w:ascii="Courier New" w:hAnsi="Courier New"/>
    </w:rPr>
  </w:style>
  <w:style w:type="character" w:styleId="HTMLTypewriter">
    <w:name w:val="HTML Typewriter"/>
    <w:rPr>
      <w:rFonts w:ascii="Courier New" w:hAnsi="Courier New"/>
      <w:sz w:val="20"/>
      <w:szCs w:val="20"/>
    </w:rPr>
  </w:style>
  <w:style w:type="character" w:styleId="HTMLVariable">
    <w:name w:val="HTML Variable"/>
    <w:rPr>
      <w:i/>
      <w:iCs/>
    </w:r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character" w:styleId="LineNumber">
    <w:name w:val="line number"/>
    <w:basedOn w:val="DefaultParagraphFont"/>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3">
    <w:name w:val="List Number 3"/>
    <w:basedOn w:val="Normal"/>
    <w:pPr>
      <w:numPr>
        <w:numId w:val="8"/>
      </w:numPr>
    </w:pPr>
  </w:style>
  <w:style w:type="paragraph" w:styleId="ListNumber4">
    <w:name w:val="List Number 4"/>
    <w:basedOn w:val="Normal"/>
    <w:pPr>
      <w:numPr>
        <w:numId w:val="9"/>
      </w:numPr>
    </w:pPr>
  </w:style>
  <w:style w:type="paragraph" w:styleId="ListNumber5">
    <w:name w:val="List Number 5"/>
    <w:basedOn w:val="Normal"/>
    <w:pPr>
      <w:numPr>
        <w:numId w:val="10"/>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spacing w:after="180"/>
      <w:textAlignment w:val="baseline"/>
    </w:pPr>
    <w:rPr>
      <w:rFonts w:ascii="Courier New" w:hAnsi="Courier New" w:cs="Courier New"/>
      <w:lang w:eastAsia="en-US"/>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rPr>
      <w:sz w:val="24"/>
      <w:szCs w:val="24"/>
    </w:rPr>
  </w:style>
  <w:style w:type="paragraph" w:styleId="NormalIndent">
    <w:name w:val="Normal Indent"/>
    <w:basedOn w:val="Normal"/>
    <w:pPr>
      <w:ind w:left="720"/>
    </w:pPr>
  </w:style>
  <w:style w:type="paragraph" w:styleId="NoteHeading">
    <w:name w:val="Note Heading"/>
    <w:basedOn w:val="Normal"/>
    <w:next w:val="Normal"/>
  </w:style>
  <w:style w:type="character" w:styleId="PageNumber">
    <w:name w:val="page number"/>
    <w:basedOn w:val="DefaultParagraphFont"/>
  </w:style>
  <w:style w:type="paragraph" w:styleId="PlainText">
    <w:name w:val="Plain Text"/>
    <w:basedOn w:val="Normal"/>
    <w:rPr>
      <w:rFonts w:ascii="Courier New" w:hAnsi="Courier New" w:cs="Courier New"/>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paragraph" w:styleId="TableofAuthorities">
    <w:name w:val="table of authorities"/>
    <w:basedOn w:val="Normal"/>
    <w:next w:val="Normal"/>
    <w:semiHidden/>
    <w:pPr>
      <w:ind w:left="200" w:hanging="200"/>
    </w:pPr>
  </w:style>
  <w:style w:type="paragraph" w:styleId="TableofFigures">
    <w:name w:val="table of figures"/>
    <w:basedOn w:val="Normal"/>
    <w:next w:val="Normal"/>
    <w:semiHidden/>
    <w:pPr>
      <w:ind w:left="400" w:hanging="400"/>
    </w:p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TOAHeading">
    <w:name w:val="toa heading"/>
    <w:basedOn w:val="Normal"/>
    <w:next w:val="Normal"/>
    <w:semiHidden/>
    <w:pPr>
      <w:spacing w:before="120"/>
    </w:pPr>
    <w:rPr>
      <w:rFonts w:ascii="Arial" w:hAnsi="Arial" w:cs="Arial"/>
      <w:b/>
      <w:bCs/>
      <w:sz w:val="24"/>
      <w:szCs w:val="24"/>
    </w:rPr>
  </w:style>
  <w:style w:type="paragraph" w:customStyle="1" w:styleId="TAJ">
    <w:name w:val="TAJ"/>
    <w:basedOn w:val="Normal"/>
    <w:rsid w:val="00CD386D"/>
    <w:pPr>
      <w:keepNext/>
      <w:keepLines/>
      <w:spacing w:after="0"/>
      <w:jc w:val="both"/>
    </w:pPr>
    <w:rPr>
      <w:rFonts w:ascii="Arial" w:hAnsi="Arial"/>
      <w:sz w:val="18"/>
    </w:rPr>
  </w:style>
  <w:style w:type="paragraph" w:customStyle="1" w:styleId="FL">
    <w:name w:val="FL"/>
    <w:basedOn w:val="Normal"/>
    <w:rsid w:val="00CD386D"/>
    <w:pPr>
      <w:keepNext/>
      <w:keepLines/>
      <w:spacing w:before="60"/>
      <w:jc w:val="center"/>
    </w:pPr>
    <w:rPr>
      <w:rFonts w:ascii="Arial" w:hAnsi="Arial"/>
      <w:b/>
    </w:rPr>
  </w:style>
  <w:style w:type="paragraph" w:styleId="BalloonText">
    <w:name w:val="Balloon Text"/>
    <w:basedOn w:val="Normal"/>
    <w:link w:val="BalloonTextChar"/>
    <w:rsid w:val="00F12DD3"/>
    <w:pPr>
      <w:spacing w:after="0"/>
    </w:pPr>
    <w:rPr>
      <w:rFonts w:ascii="Tahoma" w:hAnsi="Tahoma" w:cs="Tahoma"/>
      <w:sz w:val="16"/>
      <w:szCs w:val="16"/>
    </w:rPr>
  </w:style>
  <w:style w:type="character" w:customStyle="1" w:styleId="BalloonTextChar">
    <w:name w:val="Balloon Text Char"/>
    <w:link w:val="BalloonText"/>
    <w:rsid w:val="00F12DD3"/>
    <w:rPr>
      <w:rFonts w:ascii="Tahoma" w:hAnsi="Tahoma" w:cs="Tahoma"/>
      <w:sz w:val="16"/>
      <w:szCs w:val="16"/>
      <w:lang w:eastAsia="en-US"/>
    </w:rPr>
  </w:style>
  <w:style w:type="character" w:customStyle="1" w:styleId="NOChar">
    <w:name w:val="NO Char"/>
    <w:link w:val="NO"/>
    <w:rsid w:val="00E05319"/>
    <w:rPr>
      <w:lang w:eastAsia="en-US"/>
    </w:rPr>
  </w:style>
  <w:style w:type="character" w:customStyle="1" w:styleId="Heading2Char">
    <w:name w:val="Heading 2 Char"/>
    <w:link w:val="Heading2"/>
    <w:rsid w:val="00E05319"/>
    <w:rPr>
      <w:rFonts w:ascii="Arial" w:hAnsi="Arial"/>
      <w:sz w:val="32"/>
      <w:lang w:eastAsia="en-US"/>
    </w:rPr>
  </w:style>
  <w:style w:type="character" w:customStyle="1" w:styleId="FooterChar">
    <w:name w:val="Footer Char"/>
    <w:link w:val="Footer"/>
    <w:rsid w:val="00BC33F7"/>
    <w:rPr>
      <w:rFonts w:ascii="Arial" w:hAnsi="Arial"/>
      <w:b/>
      <w:i/>
      <w:noProof/>
      <w:sz w:val="18"/>
      <w:lang w:eastAsia="en-US"/>
    </w:rPr>
  </w:style>
  <w:style w:type="paragraph" w:customStyle="1" w:styleId="oneM2M-CoverTableLeft">
    <w:name w:val="oneM2M-CoverTableLeft"/>
    <w:basedOn w:val="Normal"/>
    <w:qFormat/>
    <w:rsid w:val="00D7373D"/>
    <w:pPr>
      <w:keepNext/>
      <w:keepLines/>
      <w:overflowPunct/>
      <w:autoSpaceDE/>
      <w:autoSpaceDN/>
      <w:adjustRightInd/>
      <w:spacing w:before="60" w:after="60"/>
      <w:textAlignment w:val="auto"/>
    </w:pPr>
    <w:rPr>
      <w:rFonts w:eastAsia="BatangChe"/>
      <w:color w:val="FFFFFF"/>
      <w:sz w:val="24"/>
      <w:szCs w:val="24"/>
      <w:lang w:val="en-US"/>
    </w:rPr>
  </w:style>
  <w:style w:customStyle="1" w:styleId="ImageCaption" w:type="paragraph">
    <w:name w:val="Image Caption"/>
    <w:basedOn w:val="TF"/>
    <w:link w:val="ImageCaptionChar"/>
    <w:qFormat/>
    <w:rsid w:val="00BF4565"/>
  </w:style>
  <w:style w:customStyle="1" w:styleId="ImageCaptionChar" w:type="character">
    <w:name w:val="Image Caption Char"/>
    <w:basedOn w:val="TFChar"/>
    <w:link w:val="ImageCaption"/>
    <w:rsid w:val="00BF4565"/>
    <w:rPr>
      <w:rFonts w:ascii="Arial" w:hAnsi="Arial"/>
      <w:b/>
      <w:lang w:eastAsia="en-US"/>
    </w:rPr>
  </w:style>
  <w:style w:customStyle="1" w:styleId="TableCaption" w:type="paragraph">
    <w:name w:val="Table Caption"/>
    <w:basedOn w:val="TH"/>
    <w:link w:val="TableCaptionChar"/>
    <w:qFormat/>
    <w:rsid w:val="00BF4565"/>
  </w:style>
  <w:style w:customStyle="1" w:styleId="TableCaptionChar" w:type="character">
    <w:name w:val="Table Caption Char"/>
    <w:basedOn w:val="THChar"/>
    <w:link w:val="TableCaption"/>
    <w:rsid w:val="00BF4565"/>
    <w:rPr>
      <w:rFonts w:ascii="Arial" w:hAnsi="Arial"/>
      <w:b/>
      <w:lang w:eastAsia="en-US"/>
    </w:rPr>
  </w:style>
  <w:style w:customStyle="1" w:styleId="Table" w:type="table">
    <w:name w:val="Table"/>
    <w:basedOn w:val="TableNormal"/>
    <w:uiPriority w:val="99"/>
    <w:rsid w:val="00F53001"/>
    <w:pPr>
      <w:jc w:val="center"/>
    </w:pPr>
    <w:tblPr>
      <w:jc w:val="cente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trPr>
      <w:jc w:val="center"/>
    </w:trPr>
    <w:tcPr>
      <w:vAlign w:val="center"/>
    </w:tcPr>
    <w:tblStylePr w:type="firstRow">
      <w:rPr>
        <w:rFonts w:ascii="Times New Roman" w:hAnsi="Times New Roman"/>
        <w:b/>
        <w:sz w:val="20"/>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6077366">
      <w:bodyDiv w:val="1"/>
      <w:marLeft w:val="0"/>
      <w:marRight w:val="0"/>
      <w:marTop w:val="0"/>
      <w:marBottom w:val="0"/>
      <w:divBdr>
        <w:top w:val="none" w:sz="0" w:space="0" w:color="auto"/>
        <w:left w:val="none" w:sz="0" w:space="0" w:color="auto"/>
        <w:bottom w:val="none" w:sz="0" w:space="0" w:color="auto"/>
        <w:right w:val="none" w:sz="0" w:space="0" w:color="auto"/>
      </w:divBdr>
    </w:div>
    <w:div w:id="511262986">
      <w:bodyDiv w:val="1"/>
      <w:marLeft w:val="0"/>
      <w:marRight w:val="0"/>
      <w:marTop w:val="0"/>
      <w:marBottom w:val="0"/>
      <w:divBdr>
        <w:top w:val="none" w:sz="0" w:space="0" w:color="auto"/>
        <w:left w:val="none" w:sz="0" w:space="0" w:color="auto"/>
        <w:bottom w:val="none" w:sz="0" w:space="0" w:color="auto"/>
        <w:right w:val="none" w:sz="0" w:space="0" w:color="auto"/>
      </w:divBdr>
    </w:div>
    <w:div w:id="1151092999">
      <w:bodyDiv w:val="1"/>
      <w:marLeft w:val="0"/>
      <w:marRight w:val="0"/>
      <w:marTop w:val="0"/>
      <w:marBottom w:val="0"/>
      <w:divBdr>
        <w:top w:val="none" w:sz="0" w:space="0" w:color="auto"/>
        <w:left w:val="none" w:sz="0" w:space="0" w:color="auto"/>
        <w:bottom w:val="none" w:sz="0" w:space="0" w:color="auto"/>
        <w:right w:val="none" w:sz="0" w:space="0" w:color="auto"/>
      </w:divBdr>
    </w:div>
    <w:div w:id="1170833381">
      <w:bodyDiv w:val="1"/>
      <w:marLeft w:val="0"/>
      <w:marRight w:val="0"/>
      <w:marTop w:val="0"/>
      <w:marBottom w:val="0"/>
      <w:divBdr>
        <w:top w:val="none" w:sz="0" w:space="0" w:color="auto"/>
        <w:left w:val="none" w:sz="0" w:space="0" w:color="auto"/>
        <w:bottom w:val="none" w:sz="0" w:space="0" w:color="auto"/>
        <w:right w:val="none" w:sz="0" w:space="0" w:color="auto"/>
      </w:divBdr>
    </w:div>
    <w:div w:id="1577014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header" Target="header1.xml"/><Relationship Id="rId12" Type="http://schemas.openxmlformats.org/officeDocument/2006/relationships/hyperlink" Target="http://www.onem2m.org/technical/published-drafts" TargetMode="External"/><Relationship Id="rId13" Type="http://schemas.openxmlformats.org/officeDocument/2006/relationships/hyperlink" Target="http://www.onem2m.org/images/files/oneM2M-Drafting-Rules.pdf" TargetMode="External"/><Relationship Id="rId14" Type="http://schemas.openxmlformats.org/officeDocument/2006/relationships/hyperlink" Target="https://osgi.org/download/r6/osgi.residential-6.0.0.pdf" TargetMode="External"/><Relationship Id="rId15" Type="http://schemas.openxmlformats.org/officeDocument/2006/relationships/image" Target="media/image2.png"/><Relationship Id="rId16" Type="http://schemas.openxmlformats.org/officeDocument/2006/relationships/image" Target="media/image3.png"/><Relationship Id="rId17"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C:\ETSI\TEMPLATES\ETSI%20'NEW'%20DELIVERABLES\ETSIW_8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ETSIW_80.DOT</Template>
  <TotalTime>16</TotalTime>
  <Pages>3</Pages>
  <Words>329</Words>
  <Characters>1878</Characters>
  <Application>Microsoft Office Word</Application>
  <DocSecurity>0</DocSecurity>
  <Lines>15</Lines>
  <Paragraphs>4</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ETS Sophia Antipolis</Company>
  <LinksUpToDate>false</LinksUpToDate>
  <CharactersWithSpaces>2203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oneM2M</dc:creator>
  <cp:keywords/>
  <cp:lastModifiedBy>Miguel Angel Reina Ortega</cp:lastModifiedBy>
  <cp:revision>4</cp:revision>
  <cp:lastPrinted>2010-05-07T15:32:00Z</cp:lastPrinted>
  <dcterms:created xsi:type="dcterms:W3CDTF">2025-11-08T18:28:00Z</dcterms:created>
  <dcterms:modified xsi:type="dcterms:W3CDTF">2026-01-07T13:12:00Z</dcterms:modified>
</cp:coreProperties>
</file>